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029" w:type="dxa"/>
        <w:tblInd w:w="-113" w:type="dxa"/>
        <w:tblLook w:val="04A0" w:firstRow="1" w:lastRow="0" w:firstColumn="1" w:lastColumn="0" w:noHBand="0" w:noVBand="1"/>
      </w:tblPr>
      <w:tblGrid>
        <w:gridCol w:w="704"/>
        <w:gridCol w:w="2264"/>
        <w:gridCol w:w="2686"/>
        <w:gridCol w:w="4737"/>
        <w:gridCol w:w="3638"/>
      </w:tblGrid>
      <w:tr w:rsidR="005834FB" w14:paraId="3C3E3820" w14:textId="77777777" w:rsidTr="009D7B6D">
        <w:tc>
          <w:tcPr>
            <w:tcW w:w="704" w:type="dxa"/>
          </w:tcPr>
          <w:p w14:paraId="7E84ADCE" w14:textId="77777777" w:rsidR="005834FB" w:rsidRPr="009D7B6D" w:rsidRDefault="00971FA8" w:rsidP="009D7B6D">
            <w:pPr>
              <w:jc w:val="center"/>
              <w:rPr>
                <w:b/>
              </w:rPr>
            </w:pPr>
            <w:r w:rsidRPr="009D7B6D">
              <w:rPr>
                <w:b/>
              </w:rPr>
              <w:t>Lp.</w:t>
            </w:r>
          </w:p>
        </w:tc>
        <w:tc>
          <w:tcPr>
            <w:tcW w:w="2264" w:type="dxa"/>
          </w:tcPr>
          <w:p w14:paraId="430CC5E6" w14:textId="77777777" w:rsidR="005834FB" w:rsidRPr="005834FB" w:rsidRDefault="005834FB" w:rsidP="00971FA8">
            <w:pPr>
              <w:rPr>
                <w:b/>
              </w:rPr>
            </w:pPr>
            <w:r w:rsidRPr="005834FB">
              <w:rPr>
                <w:b/>
              </w:rPr>
              <w:t>Podmiot zgłaszający uwagę</w:t>
            </w:r>
          </w:p>
        </w:tc>
        <w:tc>
          <w:tcPr>
            <w:tcW w:w="2686" w:type="dxa"/>
          </w:tcPr>
          <w:p w14:paraId="5C10F161" w14:textId="77777777" w:rsidR="005834FB" w:rsidRDefault="005834FB" w:rsidP="00971FA8">
            <w:r w:rsidRPr="005834FB">
              <w:rPr>
                <w:b/>
                <w:bCs/>
              </w:rPr>
              <w:t>Część dokumentu, do którego odnosi się uwaga</w:t>
            </w:r>
          </w:p>
        </w:tc>
        <w:tc>
          <w:tcPr>
            <w:tcW w:w="4737" w:type="dxa"/>
          </w:tcPr>
          <w:p w14:paraId="1108F480" w14:textId="77777777" w:rsidR="005834FB" w:rsidRPr="005834FB" w:rsidRDefault="005834FB" w:rsidP="00971FA8">
            <w:pPr>
              <w:rPr>
                <w:b/>
              </w:rPr>
            </w:pPr>
            <w:r w:rsidRPr="005834FB">
              <w:rPr>
                <w:b/>
              </w:rPr>
              <w:t>Treść uwagi</w:t>
            </w:r>
          </w:p>
        </w:tc>
        <w:tc>
          <w:tcPr>
            <w:tcW w:w="3638" w:type="dxa"/>
          </w:tcPr>
          <w:p w14:paraId="1F98994F" w14:textId="77777777" w:rsidR="005834FB" w:rsidRPr="005834FB" w:rsidRDefault="005834FB" w:rsidP="00971FA8">
            <w:pPr>
              <w:rPr>
                <w:b/>
              </w:rPr>
            </w:pPr>
            <w:r w:rsidRPr="005834FB">
              <w:rPr>
                <w:b/>
              </w:rPr>
              <w:t>Stanowisko</w:t>
            </w:r>
          </w:p>
        </w:tc>
      </w:tr>
      <w:tr w:rsidR="001148E6" w14:paraId="7CD6D031" w14:textId="77777777" w:rsidTr="009D7B6D">
        <w:tc>
          <w:tcPr>
            <w:tcW w:w="704" w:type="dxa"/>
            <w:vAlign w:val="center"/>
          </w:tcPr>
          <w:p w14:paraId="796A237E" w14:textId="77777777" w:rsidR="001148E6" w:rsidRDefault="001148E6" w:rsidP="009D7B6D">
            <w:pPr>
              <w:pStyle w:val="Akapitzlist"/>
              <w:numPr>
                <w:ilvl w:val="0"/>
                <w:numId w:val="9"/>
              </w:numPr>
              <w:jc w:val="center"/>
            </w:pPr>
          </w:p>
        </w:tc>
        <w:tc>
          <w:tcPr>
            <w:tcW w:w="2264" w:type="dxa"/>
          </w:tcPr>
          <w:p w14:paraId="77E09394" w14:textId="437237D5" w:rsidR="001148E6" w:rsidRDefault="001148E6" w:rsidP="00971FA8">
            <w:r>
              <w:t>Główny Urząd Statystyczny</w:t>
            </w:r>
          </w:p>
        </w:tc>
        <w:tc>
          <w:tcPr>
            <w:tcW w:w="2686" w:type="dxa"/>
          </w:tcPr>
          <w:p w14:paraId="7D8A89E0" w14:textId="63194655" w:rsidR="001148E6" w:rsidRDefault="001148E6" w:rsidP="00971FA8">
            <w:r>
              <w:t>Wykaz skrótów</w:t>
            </w:r>
          </w:p>
        </w:tc>
        <w:tc>
          <w:tcPr>
            <w:tcW w:w="4737" w:type="dxa"/>
          </w:tcPr>
          <w:p w14:paraId="54DC7FB8" w14:textId="77777777" w:rsidR="001148E6" w:rsidRDefault="001148E6" w:rsidP="001148E6">
            <w:r w:rsidRPr="00D67F01">
              <w:t>Higiena cyfrowa</w:t>
            </w:r>
            <w:r>
              <w:t xml:space="preserve">: </w:t>
            </w:r>
            <w:r w:rsidRPr="00D67F01">
              <w:t>Proponujemy sformułowanie „</w:t>
            </w:r>
            <w:proofErr w:type="spellStart"/>
            <w:r w:rsidRPr="00D67F01">
              <w:t>cyberhigiena</w:t>
            </w:r>
            <w:proofErr w:type="spellEnd"/>
            <w:r w:rsidRPr="00D67F01">
              <w:t>” przenieść do kolumny „Pojęcie” tj. „Higiena cyfrowa/</w:t>
            </w:r>
            <w:proofErr w:type="spellStart"/>
            <w:r w:rsidRPr="00D67F01">
              <w:t>cyberhigiena</w:t>
            </w:r>
            <w:proofErr w:type="spellEnd"/>
            <w:r w:rsidRPr="00D67F01">
              <w:t>”</w:t>
            </w:r>
            <w:r>
              <w:t>.</w:t>
            </w:r>
          </w:p>
          <w:p w14:paraId="46D852FB" w14:textId="77777777" w:rsidR="001148E6" w:rsidRDefault="001148E6" w:rsidP="00971FA8"/>
        </w:tc>
        <w:tc>
          <w:tcPr>
            <w:tcW w:w="3638" w:type="dxa"/>
          </w:tcPr>
          <w:p w14:paraId="27F71943" w14:textId="77777777" w:rsidR="001148E6" w:rsidRDefault="001148E6" w:rsidP="001148E6">
            <w:r w:rsidRPr="001B2554">
              <w:rPr>
                <w:b/>
                <w:bCs/>
              </w:rPr>
              <w:t>Uwaga nieuwzględniona</w:t>
            </w:r>
            <w:r>
              <w:t>. Bardziej rozpowszechnionym pojęciem jest higiena cyfrowa.</w:t>
            </w:r>
          </w:p>
          <w:p w14:paraId="73F443B8" w14:textId="77777777" w:rsidR="001148E6" w:rsidRPr="00194614" w:rsidRDefault="001148E6" w:rsidP="00474912">
            <w:pPr>
              <w:rPr>
                <w:b/>
              </w:rPr>
            </w:pPr>
          </w:p>
        </w:tc>
      </w:tr>
      <w:tr w:rsidR="007F1C7A" w14:paraId="36C64B3F" w14:textId="77777777" w:rsidTr="009D7B6D">
        <w:tc>
          <w:tcPr>
            <w:tcW w:w="704" w:type="dxa"/>
            <w:vAlign w:val="center"/>
          </w:tcPr>
          <w:p w14:paraId="1A79BF1C" w14:textId="77777777" w:rsidR="007F1C7A" w:rsidRDefault="007F1C7A" w:rsidP="009D7B6D">
            <w:pPr>
              <w:pStyle w:val="Akapitzlist"/>
              <w:numPr>
                <w:ilvl w:val="0"/>
                <w:numId w:val="9"/>
              </w:numPr>
              <w:jc w:val="center"/>
            </w:pPr>
          </w:p>
        </w:tc>
        <w:tc>
          <w:tcPr>
            <w:tcW w:w="2264" w:type="dxa"/>
          </w:tcPr>
          <w:p w14:paraId="4BA5589B" w14:textId="77777777" w:rsidR="007F1C7A" w:rsidRDefault="007F1C7A" w:rsidP="00971FA8">
            <w:r>
              <w:t>Główny Urząd Statystyczny</w:t>
            </w:r>
          </w:p>
        </w:tc>
        <w:tc>
          <w:tcPr>
            <w:tcW w:w="2686" w:type="dxa"/>
          </w:tcPr>
          <w:p w14:paraId="21451E6F" w14:textId="77777777" w:rsidR="007F1C7A" w:rsidRDefault="007F1C7A" w:rsidP="00971FA8">
            <w:r>
              <w:t>s. 44</w:t>
            </w:r>
          </w:p>
        </w:tc>
        <w:tc>
          <w:tcPr>
            <w:tcW w:w="4737" w:type="dxa"/>
          </w:tcPr>
          <w:p w14:paraId="73AD3FEB" w14:textId="77777777" w:rsidR="007F1C7A" w:rsidRPr="007F1C7A" w:rsidRDefault="007F1C7A" w:rsidP="00971FA8">
            <w:r>
              <w:t xml:space="preserve">Uwaga do części </w:t>
            </w:r>
            <w:r w:rsidRPr="007F1C7A">
              <w:rPr>
                <w:i/>
              </w:rPr>
              <w:t>Dotychczasowe osiągnięcia Polski w obszarze kompetencji cyfrowych</w:t>
            </w:r>
            <w:r>
              <w:rPr>
                <w:i/>
              </w:rPr>
              <w:t xml:space="preserve">: </w:t>
            </w:r>
            <w:r w:rsidRPr="007F1C7A">
              <w:t xml:space="preserve">Uważamy, że warto byłoby w tym rozdziale ująć sukcesy statystyki publicznej w zakresie wdrażania usług cyfrowych dotyczących sprawozdawczości elektronicznej przedsiębiorstw. Portal Sprawozdawczy został wdrożony już w roku 2007 (około dwa lata wcześniej udostępniono sprawozdawcom tzw. Moduł Sprawozdawczości Elektronicznej, obejmujący pojedyncze sprawozdania z obszaru statystyki gospodarczej m. in. DG-1 oraz F-01/I-01). </w:t>
            </w:r>
          </w:p>
          <w:p w14:paraId="587A1208" w14:textId="77777777" w:rsidR="007F1C7A" w:rsidRPr="007F1C7A" w:rsidRDefault="007F1C7A" w:rsidP="00971FA8"/>
          <w:p w14:paraId="5E1299E4" w14:textId="77777777" w:rsidR="007F1C7A" w:rsidRDefault="007F1C7A" w:rsidP="00971FA8">
            <w:r w:rsidRPr="007F1C7A">
              <w:t>Wdrożenie sprawozdawczości elektronicznej było wówczas działaniem wysoce innowacyjnym i prekursorskim nie tylko w skali kraju (większość urzędów nie zapewniała jeszcze wtedy obsługi klientów w formie usług cyfrowych), ale także światowym (wiele krajów UE nie posiadało jeszcze takich rozwiązań, swoimi doświadczeniami z wdrażania sprawozdawczości elektronicznej dzieliliśmy się także m. in. z ekspertem z Australii).</w:t>
            </w:r>
          </w:p>
        </w:tc>
        <w:tc>
          <w:tcPr>
            <w:tcW w:w="3638" w:type="dxa"/>
          </w:tcPr>
          <w:p w14:paraId="1C54396D" w14:textId="77777777" w:rsidR="00D3747D" w:rsidRPr="00194614" w:rsidRDefault="00D3747D" w:rsidP="00474912">
            <w:pPr>
              <w:rPr>
                <w:b/>
              </w:rPr>
            </w:pPr>
            <w:r w:rsidRPr="00194614">
              <w:rPr>
                <w:b/>
              </w:rPr>
              <w:t>Uwaga nie</w:t>
            </w:r>
            <w:r w:rsidR="00943AAC" w:rsidRPr="00194614">
              <w:rPr>
                <w:b/>
              </w:rPr>
              <w:t>uwzględnion</w:t>
            </w:r>
            <w:r w:rsidRPr="00194614">
              <w:rPr>
                <w:b/>
              </w:rPr>
              <w:t>a.</w:t>
            </w:r>
          </w:p>
          <w:p w14:paraId="0AA6A9A1" w14:textId="71FD4530" w:rsidR="007F1C7A" w:rsidRPr="00943AAC" w:rsidRDefault="00943AAC" w:rsidP="00474912">
            <w:r>
              <w:t>Przedmiotem PRKC są kompetencje cyfrowe, a nie sukcesy statystyki polskiej</w:t>
            </w:r>
            <w:r w:rsidR="00474912">
              <w:t>.</w:t>
            </w:r>
          </w:p>
        </w:tc>
      </w:tr>
      <w:tr w:rsidR="007F1C7A" w14:paraId="72AE90F5" w14:textId="77777777" w:rsidTr="009D7B6D">
        <w:tc>
          <w:tcPr>
            <w:tcW w:w="704" w:type="dxa"/>
            <w:vAlign w:val="center"/>
          </w:tcPr>
          <w:p w14:paraId="20580C38" w14:textId="77777777" w:rsidR="007F1C7A" w:rsidRDefault="007F1C7A" w:rsidP="009D7B6D">
            <w:pPr>
              <w:pStyle w:val="Akapitzlist"/>
              <w:numPr>
                <w:ilvl w:val="0"/>
                <w:numId w:val="9"/>
              </w:numPr>
              <w:jc w:val="center"/>
            </w:pPr>
          </w:p>
        </w:tc>
        <w:tc>
          <w:tcPr>
            <w:tcW w:w="2264" w:type="dxa"/>
          </w:tcPr>
          <w:p w14:paraId="6CD97AEF" w14:textId="77777777" w:rsidR="007F1C7A" w:rsidRDefault="007F1C7A" w:rsidP="00971FA8">
            <w:r>
              <w:t>Główny Urząd Statystyczny</w:t>
            </w:r>
          </w:p>
        </w:tc>
        <w:tc>
          <w:tcPr>
            <w:tcW w:w="2686" w:type="dxa"/>
          </w:tcPr>
          <w:p w14:paraId="6E4E24AC" w14:textId="77777777" w:rsidR="007F1C7A" w:rsidRDefault="007F1C7A" w:rsidP="00971FA8">
            <w:r>
              <w:t xml:space="preserve">s. 86 </w:t>
            </w:r>
          </w:p>
        </w:tc>
        <w:tc>
          <w:tcPr>
            <w:tcW w:w="4737" w:type="dxa"/>
          </w:tcPr>
          <w:p w14:paraId="46E1D272" w14:textId="77777777" w:rsidR="007F1C7A" w:rsidRDefault="007F1C7A" w:rsidP="00971FA8">
            <w:r>
              <w:t xml:space="preserve">Do zapisu </w:t>
            </w:r>
            <w:r w:rsidRPr="007F1C7A">
              <w:rPr>
                <w:i/>
              </w:rPr>
              <w:t xml:space="preserve">na zwiększenie poziomu umiejętności realizacji e-usług z pomocą platformy </w:t>
            </w:r>
            <w:proofErr w:type="spellStart"/>
            <w:r w:rsidRPr="007F1C7A">
              <w:rPr>
                <w:i/>
              </w:rPr>
              <w:t>ePUAP</w:t>
            </w:r>
            <w:proofErr w:type="spellEnd"/>
            <w:r>
              <w:rPr>
                <w:i/>
              </w:rPr>
              <w:t xml:space="preserve">: </w:t>
            </w:r>
            <w:r w:rsidRPr="007F1C7A">
              <w:t xml:space="preserve">Uważamy, że celowe jest przede wszystkim udoskonalenie funkcjonalności tej platformy tak, aby była przyjazna i komfortowa w użyciu – w tym </w:t>
            </w:r>
            <w:r w:rsidRPr="007F1C7A">
              <w:lastRenderedPageBreak/>
              <w:t xml:space="preserve">szczególnie dla obywateli, a nie urzędników, gdyż to właśnie oni mogą mieć największy problem z jej obsługą od strony technicznej. Z perspektywy urzędników istotniejsze jest dostosowanie platformy do potrzeb wynikających ze specyfiki działania danego urzędu (np. zapewnienie możliwości wygodnej obsługi nie tylko indywidualnych obywateli, lecz także podmiotów gospodarczych – obecnie korespondencja przesyłana przez </w:t>
            </w:r>
            <w:proofErr w:type="spellStart"/>
            <w:r w:rsidRPr="007F1C7A">
              <w:t>ePUAP</w:t>
            </w:r>
            <w:proofErr w:type="spellEnd"/>
            <w:r w:rsidRPr="007F1C7A">
              <w:t xml:space="preserve"> do jednostek statystyki publicznej zawierają jako numer identyfikacyjny numer PESEL zamiast numeru REGON, co w niektórych przypadkach uniemożliwia ustalenie nadawcy wiadomości).</w:t>
            </w:r>
          </w:p>
        </w:tc>
        <w:tc>
          <w:tcPr>
            <w:tcW w:w="3638" w:type="dxa"/>
          </w:tcPr>
          <w:p w14:paraId="20B63BF8" w14:textId="77777777" w:rsidR="00D3747D" w:rsidRPr="00194614" w:rsidRDefault="00D3747D" w:rsidP="00971FA8">
            <w:pPr>
              <w:rPr>
                <w:b/>
              </w:rPr>
            </w:pPr>
            <w:r w:rsidRPr="00194614">
              <w:rPr>
                <w:b/>
              </w:rPr>
              <w:lastRenderedPageBreak/>
              <w:t>Uwaga nie</w:t>
            </w:r>
            <w:r w:rsidR="00943AAC" w:rsidRPr="00194614">
              <w:rPr>
                <w:b/>
              </w:rPr>
              <w:t>uwzględnion</w:t>
            </w:r>
            <w:r w:rsidRPr="00194614">
              <w:rPr>
                <w:b/>
              </w:rPr>
              <w:t>a</w:t>
            </w:r>
            <w:r w:rsidR="00943AAC" w:rsidRPr="00194614">
              <w:rPr>
                <w:b/>
              </w:rPr>
              <w:t xml:space="preserve">. </w:t>
            </w:r>
          </w:p>
          <w:p w14:paraId="605331E9" w14:textId="537A9515" w:rsidR="007F1C7A" w:rsidRPr="004A38D1" w:rsidRDefault="00943AAC" w:rsidP="00971FA8">
            <w:pPr>
              <w:rPr>
                <w:color w:val="FF0000"/>
              </w:rPr>
            </w:pPr>
            <w:r w:rsidRPr="00943AAC">
              <w:t>Uwaga nie dotyczy PRKC i kompetencji cyfrowych.</w:t>
            </w:r>
          </w:p>
        </w:tc>
      </w:tr>
      <w:tr w:rsidR="000907F2" w14:paraId="5FCC5DD5" w14:textId="77777777" w:rsidTr="009D7B6D">
        <w:tc>
          <w:tcPr>
            <w:tcW w:w="704" w:type="dxa"/>
            <w:vAlign w:val="center"/>
          </w:tcPr>
          <w:p w14:paraId="44173258" w14:textId="77777777" w:rsidR="000907F2" w:rsidRDefault="000907F2" w:rsidP="009D7B6D">
            <w:pPr>
              <w:pStyle w:val="Akapitzlist"/>
              <w:numPr>
                <w:ilvl w:val="0"/>
                <w:numId w:val="9"/>
              </w:numPr>
              <w:jc w:val="center"/>
            </w:pPr>
          </w:p>
        </w:tc>
        <w:tc>
          <w:tcPr>
            <w:tcW w:w="2264" w:type="dxa"/>
          </w:tcPr>
          <w:p w14:paraId="48F3384E" w14:textId="77777777" w:rsidR="000907F2" w:rsidRDefault="000907F2" w:rsidP="00971FA8">
            <w:r>
              <w:t>Główny Urząd Statystyczny</w:t>
            </w:r>
          </w:p>
        </w:tc>
        <w:tc>
          <w:tcPr>
            <w:tcW w:w="2686" w:type="dxa"/>
          </w:tcPr>
          <w:p w14:paraId="35C3D61D" w14:textId="77777777" w:rsidR="000907F2" w:rsidRDefault="000907F2" w:rsidP="00971FA8">
            <w:r>
              <w:t>s. 119</w:t>
            </w:r>
          </w:p>
        </w:tc>
        <w:tc>
          <w:tcPr>
            <w:tcW w:w="4737" w:type="dxa"/>
          </w:tcPr>
          <w:p w14:paraId="34F9DED8" w14:textId="77777777" w:rsidR="000907F2" w:rsidRPr="000907F2" w:rsidRDefault="000907F2" w:rsidP="00971FA8">
            <w:r w:rsidRPr="000907F2">
              <w:rPr>
                <w:i/>
              </w:rPr>
              <w:t>b) Ułatwienie wszystkim mieszkańcom Polski dostępu do rozwoju kompetencji cyfrowych będzie odbywać się za pomocą sieci Klubów Rozwoju Cyfrowego, usytuowanych w każdej gminie, która wyrazi chęć organizacji KRC na swoim terenie.</w:t>
            </w:r>
            <w:r>
              <w:rPr>
                <w:i/>
              </w:rPr>
              <w:t xml:space="preserve"> - </w:t>
            </w:r>
            <w:r w:rsidRPr="000907F2">
              <w:t>Zastanawiamy się czy takie kluby nie powinny występować jednak w każdej gminie tj. czy nie powinny być one zobowiązane do ich utworzenia, aby dostęp do rozwoju kompetencji cyfrowych był faktycznie możliwy dla wszystkich mieszkańców. Ewentualnie czy nie powinno się określić progów np. pod względem liczby ludności, dla których jest obligatoryjne stworzenie KRC.</w:t>
            </w:r>
          </w:p>
        </w:tc>
        <w:tc>
          <w:tcPr>
            <w:tcW w:w="3638" w:type="dxa"/>
          </w:tcPr>
          <w:p w14:paraId="7B00E42F" w14:textId="77777777" w:rsidR="00D3747D" w:rsidRPr="00194614" w:rsidRDefault="00D3747D" w:rsidP="00971FA8">
            <w:pPr>
              <w:rPr>
                <w:b/>
              </w:rPr>
            </w:pPr>
            <w:r w:rsidRPr="00194614">
              <w:rPr>
                <w:b/>
              </w:rPr>
              <w:t>Uwaga nie</w:t>
            </w:r>
            <w:r w:rsidR="004A38D1" w:rsidRPr="00194614">
              <w:rPr>
                <w:b/>
              </w:rPr>
              <w:t>uwzględnion</w:t>
            </w:r>
            <w:r w:rsidRPr="00194614">
              <w:rPr>
                <w:b/>
              </w:rPr>
              <w:t>a.</w:t>
            </w:r>
          </w:p>
          <w:p w14:paraId="70E6C2CE" w14:textId="6C3ED190" w:rsidR="000907F2" w:rsidRPr="00D3747D" w:rsidRDefault="004A38D1" w:rsidP="00971FA8">
            <w:r w:rsidRPr="00AB26A3">
              <w:t>Co do zasady planuje się utworzenie KRC w każdej gminie</w:t>
            </w:r>
            <w:r w:rsidR="00AB26A3" w:rsidRPr="00AB26A3">
              <w:t xml:space="preserve">, ale </w:t>
            </w:r>
            <w:r w:rsidR="00FF12B4">
              <w:t xml:space="preserve">nie </w:t>
            </w:r>
            <w:r w:rsidR="00AB26A3" w:rsidRPr="00AB26A3">
              <w:t xml:space="preserve">chcemy zmuszać gmin do tworzenia KRC, a bardziej zachęcać </w:t>
            </w:r>
            <w:r w:rsidR="00FF12B4">
              <w:t>u</w:t>
            </w:r>
            <w:r w:rsidR="00AB26A3" w:rsidRPr="00AB26A3">
              <w:t>kazując korzyści.</w:t>
            </w:r>
          </w:p>
        </w:tc>
      </w:tr>
      <w:tr w:rsidR="000907F2" w14:paraId="6301D57C" w14:textId="77777777" w:rsidTr="009D7B6D">
        <w:tc>
          <w:tcPr>
            <w:tcW w:w="704" w:type="dxa"/>
            <w:vAlign w:val="center"/>
          </w:tcPr>
          <w:p w14:paraId="07D3F843" w14:textId="77777777" w:rsidR="000907F2" w:rsidRDefault="000907F2" w:rsidP="009D7B6D">
            <w:pPr>
              <w:pStyle w:val="Akapitzlist"/>
              <w:numPr>
                <w:ilvl w:val="0"/>
                <w:numId w:val="9"/>
              </w:numPr>
              <w:jc w:val="center"/>
            </w:pPr>
          </w:p>
        </w:tc>
        <w:tc>
          <w:tcPr>
            <w:tcW w:w="2264" w:type="dxa"/>
          </w:tcPr>
          <w:p w14:paraId="69E7DB10" w14:textId="77777777" w:rsidR="000907F2" w:rsidRDefault="000907F2" w:rsidP="00971FA8">
            <w:r>
              <w:t>Główny Urząd Statystyczny</w:t>
            </w:r>
          </w:p>
        </w:tc>
        <w:tc>
          <w:tcPr>
            <w:tcW w:w="2686" w:type="dxa"/>
          </w:tcPr>
          <w:p w14:paraId="7ECBD289" w14:textId="77777777" w:rsidR="000907F2" w:rsidRDefault="000907F2" w:rsidP="00971FA8">
            <w:r>
              <w:t>Str. 15 OSR</w:t>
            </w:r>
          </w:p>
        </w:tc>
        <w:tc>
          <w:tcPr>
            <w:tcW w:w="4737" w:type="dxa"/>
          </w:tcPr>
          <w:p w14:paraId="6C58CB9A" w14:textId="77777777" w:rsidR="000907F2" w:rsidRPr="000907F2" w:rsidRDefault="000907F2" w:rsidP="00971FA8">
            <w:r w:rsidRPr="000907F2">
              <w:rPr>
                <w:i/>
              </w:rPr>
              <w:t xml:space="preserve">Systemowe wsparcie edukacji cyfrowej osób dorosłych poprzez powołanie Klubów Rozwoju Cyfrowego oraz stymulowanie ich działań szkoleniowo-doradczych to zadanie o charakterze typowo regionalnym, wręcz lokalnym, schodzącym do poziomu wszystkich gmin. Jego realizacja </w:t>
            </w:r>
            <w:r w:rsidRPr="000907F2">
              <w:rPr>
                <w:i/>
              </w:rPr>
              <w:lastRenderedPageBreak/>
              <w:t>pobudzi środowisko lokalne i poprawi sytuację w zakresie kompetencji cyfrowych, przez co wpłynie korzystnie na wzrost produktywności, konkurencyjności, przedsiębiorczości i innowacyjności, co może zaowocować wzrostem gospodarczym i pożądanym rozwojem społecznym wszystkich regionów Polski.</w:t>
            </w:r>
            <w:r>
              <w:rPr>
                <w:i/>
              </w:rPr>
              <w:t xml:space="preserve"> - </w:t>
            </w:r>
            <w:r w:rsidRPr="000907F2">
              <w:t>Cel będzie osiągnięty o ile powołanie KRC będzie obligatoryjne dla wszystkich gmin a nie tylko tych zainteresowanych ich powstaniem zgodnie z informacją na stronie 119 podpunkt b.</w:t>
            </w:r>
          </w:p>
        </w:tc>
        <w:tc>
          <w:tcPr>
            <w:tcW w:w="3638" w:type="dxa"/>
          </w:tcPr>
          <w:p w14:paraId="7F0050C5" w14:textId="77777777" w:rsidR="00D3747D" w:rsidRPr="00194614" w:rsidRDefault="00D3747D" w:rsidP="00971FA8">
            <w:pPr>
              <w:rPr>
                <w:b/>
              </w:rPr>
            </w:pPr>
            <w:r w:rsidRPr="00194614">
              <w:rPr>
                <w:b/>
              </w:rPr>
              <w:lastRenderedPageBreak/>
              <w:t>Uwaga nie</w:t>
            </w:r>
            <w:r w:rsidR="00AB26A3" w:rsidRPr="00194614">
              <w:rPr>
                <w:b/>
              </w:rPr>
              <w:t>uwzględnion</w:t>
            </w:r>
            <w:r w:rsidRPr="00194614">
              <w:rPr>
                <w:b/>
              </w:rPr>
              <w:t>a</w:t>
            </w:r>
            <w:r w:rsidR="00AB26A3" w:rsidRPr="00194614">
              <w:rPr>
                <w:b/>
              </w:rPr>
              <w:t>.</w:t>
            </w:r>
          </w:p>
          <w:p w14:paraId="2587BA46" w14:textId="4A279518" w:rsidR="000907F2" w:rsidRPr="00D3747D" w:rsidRDefault="00AB26A3" w:rsidP="00971FA8">
            <w:r w:rsidRPr="00AB26A3">
              <w:t xml:space="preserve">Co do zasady planuje się utworzenie KRC w każdej gminie, ale </w:t>
            </w:r>
            <w:r w:rsidR="00FF12B4">
              <w:t xml:space="preserve">nie </w:t>
            </w:r>
            <w:r w:rsidRPr="00AB26A3">
              <w:t xml:space="preserve">chcemy zmuszać gmin do tworzenia KRC, a bardziej zachęcać </w:t>
            </w:r>
            <w:r w:rsidR="00FF12B4">
              <w:t>u</w:t>
            </w:r>
            <w:r w:rsidRPr="00AB26A3">
              <w:t>kazując korzyści.</w:t>
            </w:r>
          </w:p>
        </w:tc>
      </w:tr>
      <w:tr w:rsidR="00FF53CA" w14:paraId="05756660" w14:textId="77777777" w:rsidTr="009D7B6D">
        <w:tc>
          <w:tcPr>
            <w:tcW w:w="704" w:type="dxa"/>
            <w:vAlign w:val="center"/>
          </w:tcPr>
          <w:p w14:paraId="77885C14" w14:textId="77777777" w:rsidR="00FF53CA" w:rsidRDefault="00FF53CA" w:rsidP="009D7B6D">
            <w:pPr>
              <w:pStyle w:val="Akapitzlist"/>
              <w:numPr>
                <w:ilvl w:val="0"/>
                <w:numId w:val="9"/>
              </w:numPr>
              <w:jc w:val="center"/>
            </w:pPr>
          </w:p>
        </w:tc>
        <w:tc>
          <w:tcPr>
            <w:tcW w:w="2264" w:type="dxa"/>
          </w:tcPr>
          <w:p w14:paraId="4541627A" w14:textId="77777777" w:rsidR="00FF53CA" w:rsidRDefault="00C7370A" w:rsidP="00971FA8">
            <w:r>
              <w:t>Polska Akademia Nauk</w:t>
            </w:r>
          </w:p>
        </w:tc>
        <w:tc>
          <w:tcPr>
            <w:tcW w:w="2686" w:type="dxa"/>
          </w:tcPr>
          <w:p w14:paraId="786BBBDB" w14:textId="77777777" w:rsidR="00C7370A" w:rsidRPr="00C7370A" w:rsidRDefault="00C7370A" w:rsidP="00971FA8">
            <w:r w:rsidRPr="00C7370A">
              <w:t>Str. 81 Działanie 111.1.4. Rozwój zastosowań technologii cyfrowych w podmiotach systemu nauki i szkolnictwa wyższego</w:t>
            </w:r>
          </w:p>
          <w:p w14:paraId="5812C315" w14:textId="77777777" w:rsidR="00FF53CA" w:rsidRDefault="00FF53CA" w:rsidP="00971FA8"/>
        </w:tc>
        <w:tc>
          <w:tcPr>
            <w:tcW w:w="4737" w:type="dxa"/>
          </w:tcPr>
          <w:p w14:paraId="62D2E6A7" w14:textId="77777777" w:rsidR="00C7370A" w:rsidRPr="00527DAD" w:rsidRDefault="00C7370A" w:rsidP="00971FA8">
            <w:pPr>
              <w:spacing w:before="108"/>
              <w:rPr>
                <w:rFonts w:cstheme="minorHAnsi"/>
                <w:color w:val="000000" w:themeColor="text1"/>
                <w:spacing w:val="-2"/>
              </w:rPr>
            </w:pPr>
            <w:r w:rsidRPr="00C7370A">
              <w:rPr>
                <w:rFonts w:cstheme="minorHAnsi"/>
                <w:color w:val="000000"/>
                <w:spacing w:val="-2"/>
              </w:rPr>
              <w:t xml:space="preserve">„W związku ze specyfiką pracy w podmiotach systemu nauki i szkolnictwa wyższego konieczne jest </w:t>
            </w:r>
            <w:r w:rsidRPr="00C7370A">
              <w:rPr>
                <w:rFonts w:cstheme="minorHAnsi"/>
                <w:color w:val="000000"/>
                <w:spacing w:val="-4"/>
              </w:rPr>
              <w:t xml:space="preserve">specjalistyczne przygotowanie pracowników </w:t>
            </w:r>
            <w:r w:rsidRPr="00527DAD">
              <w:rPr>
                <w:rFonts w:cstheme="minorHAnsi"/>
                <w:color w:val="000000" w:themeColor="text1"/>
                <w:spacing w:val="-4"/>
              </w:rPr>
              <w:t xml:space="preserve">administracyjnych oraz technicznych ww. podmiotów do </w:t>
            </w:r>
            <w:r w:rsidRPr="00527DAD">
              <w:rPr>
                <w:rFonts w:cstheme="minorHAnsi"/>
                <w:color w:val="000000" w:themeColor="text1"/>
                <w:spacing w:val="6"/>
              </w:rPr>
              <w:t xml:space="preserve">zrozumienia wiedzy przekazywanej w modelach procesów biznesowych, obsługi inteligentnych </w:t>
            </w:r>
            <w:r w:rsidRPr="00527DAD">
              <w:rPr>
                <w:rFonts w:cstheme="minorHAnsi"/>
                <w:color w:val="000000" w:themeColor="text1"/>
              </w:rPr>
              <w:t>systemów zarządzania procesami, a tym samym podnoszenie ich kompetencji cyfrowych.</w:t>
            </w:r>
          </w:p>
          <w:p w14:paraId="4FE76F55" w14:textId="77777777" w:rsidR="00C7370A" w:rsidRPr="00C7370A" w:rsidRDefault="00C7370A" w:rsidP="00971FA8">
            <w:pPr>
              <w:spacing w:before="72"/>
              <w:ind w:right="216"/>
              <w:rPr>
                <w:rFonts w:cstheme="minorHAnsi"/>
                <w:color w:val="000000"/>
                <w:spacing w:val="1"/>
              </w:rPr>
            </w:pPr>
            <w:r w:rsidRPr="00527DAD">
              <w:rPr>
                <w:rFonts w:cstheme="minorHAnsi"/>
                <w:color w:val="000000" w:themeColor="text1"/>
                <w:spacing w:val="1"/>
              </w:rPr>
              <w:t xml:space="preserve">W szczególności wsparcie będzie dotyczyło podnoszenia umiejętności w zakresie obsługi systemów </w:t>
            </w:r>
            <w:r w:rsidRPr="00527DAD">
              <w:rPr>
                <w:rFonts w:cstheme="minorHAnsi"/>
                <w:color w:val="000000" w:themeColor="text1"/>
                <w:spacing w:val="5"/>
              </w:rPr>
              <w:t>do modelowania procesów biznesowych (</w:t>
            </w:r>
            <w:proofErr w:type="spellStart"/>
            <w:r w:rsidRPr="00527DAD">
              <w:rPr>
                <w:rFonts w:cstheme="minorHAnsi"/>
                <w:color w:val="000000" w:themeColor="text1"/>
                <w:spacing w:val="5"/>
              </w:rPr>
              <w:t>workflowów</w:t>
            </w:r>
            <w:proofErr w:type="spellEnd"/>
            <w:r w:rsidRPr="00527DAD">
              <w:rPr>
                <w:rFonts w:cstheme="minorHAnsi"/>
                <w:color w:val="000000" w:themeColor="text1"/>
                <w:spacing w:val="5"/>
              </w:rPr>
              <w:t xml:space="preserve">), elektronicznego obiegu dokumentów, </w:t>
            </w:r>
            <w:r w:rsidRPr="00527DAD">
              <w:rPr>
                <w:rFonts w:cstheme="minorHAnsi"/>
                <w:color w:val="000000" w:themeColor="text1"/>
                <w:spacing w:val="4"/>
              </w:rPr>
              <w:t xml:space="preserve">systemów do obsługi studentów, systemów do składania </w:t>
            </w:r>
            <w:r w:rsidRPr="00C7370A">
              <w:rPr>
                <w:rFonts w:cstheme="minorHAnsi"/>
                <w:color w:val="000000"/>
                <w:spacing w:val="4"/>
              </w:rPr>
              <w:t xml:space="preserve">wniosków projektowych oraz </w:t>
            </w:r>
            <w:r w:rsidRPr="00C7370A">
              <w:rPr>
                <w:rFonts w:cstheme="minorHAnsi"/>
                <w:color w:val="000000"/>
              </w:rPr>
              <w:t>oprogramowania niezbędnego do wydajnego funkcjonowania podmiotów."</w:t>
            </w:r>
          </w:p>
          <w:p w14:paraId="7CA6E179" w14:textId="77777777" w:rsidR="00FF53CA" w:rsidRDefault="00FF53CA" w:rsidP="00971FA8"/>
        </w:tc>
        <w:tc>
          <w:tcPr>
            <w:tcW w:w="3638" w:type="dxa"/>
          </w:tcPr>
          <w:p w14:paraId="4DE44F57" w14:textId="77777777" w:rsidR="00D3747D" w:rsidRPr="00194614" w:rsidRDefault="00D3747D" w:rsidP="00971FA8">
            <w:pPr>
              <w:rPr>
                <w:b/>
              </w:rPr>
            </w:pPr>
            <w:r w:rsidRPr="00194614">
              <w:rPr>
                <w:b/>
              </w:rPr>
              <w:t>Uwaga nie</w:t>
            </w:r>
            <w:r w:rsidR="000C4183" w:rsidRPr="00194614">
              <w:rPr>
                <w:b/>
              </w:rPr>
              <w:t>u</w:t>
            </w:r>
            <w:r w:rsidR="00F106CF" w:rsidRPr="00194614">
              <w:rPr>
                <w:b/>
              </w:rPr>
              <w:t>względnion</w:t>
            </w:r>
            <w:r w:rsidRPr="00194614">
              <w:rPr>
                <w:b/>
              </w:rPr>
              <w:t>a</w:t>
            </w:r>
            <w:r w:rsidR="000C4183" w:rsidRPr="00194614">
              <w:rPr>
                <w:b/>
              </w:rPr>
              <w:t>.</w:t>
            </w:r>
          </w:p>
          <w:p w14:paraId="2924D7BE" w14:textId="4AC4A0EF" w:rsidR="00FF53CA" w:rsidRDefault="000C4183" w:rsidP="00971FA8">
            <w:r>
              <w:t xml:space="preserve">Działanie jest skierowane do </w:t>
            </w:r>
            <w:r w:rsidRPr="00E603CF">
              <w:rPr>
                <w:rFonts w:eastAsia="Times New Roman" w:cs="Calibri"/>
              </w:rPr>
              <w:t>pracowników administracyjnych oraz technicznych</w:t>
            </w:r>
            <w:r>
              <w:rPr>
                <w:rFonts w:eastAsia="Times New Roman" w:cs="Calibri"/>
              </w:rPr>
              <w:t xml:space="preserve">, którzy powinni raczej mieć umiejętności obsługi procesów biznesowych niż wykazywać </w:t>
            </w:r>
            <w:r w:rsidRPr="000C4183">
              <w:rPr>
                <w:rFonts w:eastAsia="Times New Roman" w:cs="Calibri"/>
              </w:rPr>
              <w:t>zrozumienie wiedzy przekazywanej w modelach procesów biznesowych</w:t>
            </w:r>
            <w:r w:rsidR="00304140">
              <w:rPr>
                <w:rFonts w:eastAsia="Times New Roman" w:cs="Calibri"/>
              </w:rPr>
              <w:t>.</w:t>
            </w:r>
          </w:p>
        </w:tc>
      </w:tr>
      <w:tr w:rsidR="00C7370A" w14:paraId="622290A1" w14:textId="77777777" w:rsidTr="009D7B6D">
        <w:tc>
          <w:tcPr>
            <w:tcW w:w="704" w:type="dxa"/>
            <w:vAlign w:val="center"/>
          </w:tcPr>
          <w:p w14:paraId="03E515E5" w14:textId="77777777" w:rsidR="00C7370A" w:rsidRDefault="00C7370A" w:rsidP="009D7B6D">
            <w:pPr>
              <w:pStyle w:val="Akapitzlist"/>
              <w:numPr>
                <w:ilvl w:val="0"/>
                <w:numId w:val="9"/>
              </w:numPr>
              <w:jc w:val="center"/>
            </w:pPr>
          </w:p>
        </w:tc>
        <w:tc>
          <w:tcPr>
            <w:tcW w:w="2264" w:type="dxa"/>
          </w:tcPr>
          <w:p w14:paraId="06859B55" w14:textId="77777777" w:rsidR="00C7370A" w:rsidRDefault="00C7370A" w:rsidP="00971FA8">
            <w:r>
              <w:t>Polska Akademia Nauk</w:t>
            </w:r>
          </w:p>
        </w:tc>
        <w:tc>
          <w:tcPr>
            <w:tcW w:w="2686" w:type="dxa"/>
          </w:tcPr>
          <w:p w14:paraId="4EA4B4A4" w14:textId="7E77655B" w:rsidR="00C7370A" w:rsidRDefault="00457570" w:rsidP="00971FA8">
            <w:r>
              <w:t>Str. 83 Działanie III</w:t>
            </w:r>
            <w:r w:rsidR="00C7370A" w:rsidRPr="00C7370A">
              <w:t>.1.6. Kompetencje przyszłości w przemyśle 4.0</w:t>
            </w:r>
          </w:p>
        </w:tc>
        <w:tc>
          <w:tcPr>
            <w:tcW w:w="4737" w:type="dxa"/>
          </w:tcPr>
          <w:p w14:paraId="1FB2CA3A" w14:textId="77777777" w:rsidR="00C7370A" w:rsidRPr="00C7370A" w:rsidRDefault="00C7370A" w:rsidP="00971FA8">
            <w:pPr>
              <w:spacing w:before="108"/>
              <w:rPr>
                <w:rFonts w:cstheme="minorHAnsi"/>
                <w:color w:val="000000"/>
              </w:rPr>
            </w:pPr>
            <w:r w:rsidRPr="00C7370A">
              <w:rPr>
                <w:rFonts w:cstheme="minorHAnsi"/>
                <w:color w:val="000000"/>
              </w:rPr>
              <w:t>„Planowane są różnorodne działania skierowane do różnych grup pracowników.</w:t>
            </w:r>
          </w:p>
          <w:p w14:paraId="2904D3F6" w14:textId="77777777" w:rsidR="00C7370A" w:rsidRPr="00C7370A" w:rsidRDefault="00C7370A" w:rsidP="00971FA8">
            <w:pPr>
              <w:spacing w:before="108"/>
              <w:ind w:right="144"/>
              <w:rPr>
                <w:rFonts w:cstheme="minorHAnsi"/>
                <w:color w:val="000000"/>
                <w:spacing w:val="-1"/>
              </w:rPr>
            </w:pPr>
            <w:r w:rsidRPr="00C7370A">
              <w:rPr>
                <w:rFonts w:cstheme="minorHAnsi"/>
                <w:color w:val="000000"/>
                <w:spacing w:val="-1"/>
              </w:rPr>
              <w:t xml:space="preserve">W celu rozwoju kompetencji cyfrowych wśród pracowników organizacji, planuje się wykorzystanie modułu Transformacje, dostępnego w Platformie Cyfrowej Przemysłu Przyszłości. Organizacje będą </w:t>
            </w:r>
            <w:r w:rsidRPr="00C7370A">
              <w:rPr>
                <w:rFonts w:cstheme="minorHAnsi"/>
                <w:color w:val="000000"/>
                <w:spacing w:val="3"/>
              </w:rPr>
              <w:t xml:space="preserve">mogły skorzystać z </w:t>
            </w:r>
            <w:r w:rsidRPr="00527DAD">
              <w:rPr>
                <w:rFonts w:cstheme="minorHAnsi"/>
                <w:color w:val="000000" w:themeColor="text1"/>
                <w:spacing w:val="3"/>
              </w:rPr>
              <w:t xml:space="preserve">następujących kategorii transformacji: modelowanie w BPMN i zarządzanie </w:t>
            </w:r>
            <w:r w:rsidRPr="00527DAD">
              <w:rPr>
                <w:rFonts w:cstheme="minorHAnsi"/>
                <w:color w:val="000000" w:themeColor="text1"/>
              </w:rPr>
              <w:t>procesami biznesowymi, cyfrowy model biznesowy, cyfryzacja procesów inżynierskich</w:t>
            </w:r>
            <w:r w:rsidRPr="00C7370A">
              <w:rPr>
                <w:rFonts w:cstheme="minorHAnsi"/>
                <w:color w:val="000000"/>
              </w:rPr>
              <w:t xml:space="preserve">, cyfryzacja </w:t>
            </w:r>
            <w:r w:rsidRPr="00C7370A">
              <w:rPr>
                <w:rFonts w:cstheme="minorHAnsi"/>
                <w:color w:val="000000"/>
                <w:spacing w:val="-4"/>
              </w:rPr>
              <w:t xml:space="preserve">procesów organizacyjnych i biznesowych, GOZ i zrównoważona produkcja, inteligentne rozwiązania </w:t>
            </w:r>
            <w:r w:rsidRPr="00C7370A">
              <w:rPr>
                <w:rFonts w:cstheme="minorHAnsi"/>
                <w:color w:val="000000"/>
                <w:spacing w:val="3"/>
              </w:rPr>
              <w:t xml:space="preserve">produkcyjne, kompetencje poznawcze i społeczne, kompetencje techniczne, odnawialne źródła </w:t>
            </w:r>
            <w:r w:rsidRPr="00C7370A">
              <w:rPr>
                <w:rFonts w:cstheme="minorHAnsi"/>
                <w:color w:val="000000"/>
              </w:rPr>
              <w:t>energii, zaawansowane technologie, zarządzanie i optymalizacja produkcji.</w:t>
            </w:r>
          </w:p>
          <w:p w14:paraId="39444362" w14:textId="77777777" w:rsidR="00C7370A" w:rsidRDefault="00C7370A" w:rsidP="00971FA8"/>
        </w:tc>
        <w:tc>
          <w:tcPr>
            <w:tcW w:w="3638" w:type="dxa"/>
          </w:tcPr>
          <w:p w14:paraId="3DB37B23" w14:textId="77777777" w:rsidR="00194614" w:rsidRDefault="00D3747D" w:rsidP="00971FA8">
            <w:r w:rsidRPr="00194614">
              <w:rPr>
                <w:b/>
              </w:rPr>
              <w:t>Uwaga nieuwzględniona</w:t>
            </w:r>
            <w:r w:rsidR="00304140" w:rsidRPr="00194614">
              <w:rPr>
                <w:b/>
              </w:rPr>
              <w:t>.</w:t>
            </w:r>
            <w:r w:rsidR="00457570">
              <w:t xml:space="preserve"> </w:t>
            </w:r>
          </w:p>
          <w:p w14:paraId="0AD9D73A" w14:textId="2987B4AC" w:rsidR="00C7370A" w:rsidRDefault="00457570" w:rsidP="00971FA8">
            <w:r>
              <w:t xml:space="preserve">Intencją PRKC nie jest wskazywanie danej notacja </w:t>
            </w:r>
            <w:r w:rsidRPr="00457570">
              <w:t>model</w:t>
            </w:r>
            <w:r>
              <w:t>u</w:t>
            </w:r>
            <w:r w:rsidRPr="00457570">
              <w:t xml:space="preserve"> procesu biznesowego</w:t>
            </w:r>
            <w:r>
              <w:t>.</w:t>
            </w:r>
          </w:p>
        </w:tc>
      </w:tr>
      <w:tr w:rsidR="00FB1835" w14:paraId="15D27192" w14:textId="77777777" w:rsidTr="009D7B6D">
        <w:tc>
          <w:tcPr>
            <w:tcW w:w="704" w:type="dxa"/>
            <w:vAlign w:val="center"/>
          </w:tcPr>
          <w:p w14:paraId="3091077C" w14:textId="77777777" w:rsidR="00FB1835" w:rsidRDefault="00FB1835" w:rsidP="009D7B6D">
            <w:pPr>
              <w:pStyle w:val="Akapitzlist"/>
              <w:numPr>
                <w:ilvl w:val="0"/>
                <w:numId w:val="9"/>
              </w:numPr>
              <w:jc w:val="center"/>
            </w:pPr>
          </w:p>
        </w:tc>
        <w:tc>
          <w:tcPr>
            <w:tcW w:w="2264" w:type="dxa"/>
          </w:tcPr>
          <w:p w14:paraId="46D8FB29" w14:textId="77777777" w:rsidR="00FB1835" w:rsidRDefault="00627052" w:rsidP="00971FA8">
            <w:r w:rsidRPr="00627052">
              <w:rPr>
                <w:bCs/>
              </w:rPr>
              <w:t>Śląski Związek Gmin i Powiatów</w:t>
            </w:r>
          </w:p>
        </w:tc>
        <w:tc>
          <w:tcPr>
            <w:tcW w:w="2686" w:type="dxa"/>
          </w:tcPr>
          <w:p w14:paraId="0D2828F1" w14:textId="77777777" w:rsidR="00FB1835" w:rsidRDefault="00627052" w:rsidP="00971FA8">
            <w:r w:rsidRPr="00627052">
              <w:t>Str.4/5 Kompetencje cyfrowe</w:t>
            </w:r>
          </w:p>
        </w:tc>
        <w:tc>
          <w:tcPr>
            <w:tcW w:w="4737" w:type="dxa"/>
          </w:tcPr>
          <w:p w14:paraId="58B75F3F" w14:textId="77777777" w:rsidR="00FB1835" w:rsidRDefault="00627052" w:rsidP="00971FA8">
            <w:pPr>
              <w:spacing w:before="72"/>
              <w:ind w:right="504"/>
              <w:rPr>
                <w:rFonts w:cstheme="minorHAnsi"/>
                <w:color w:val="000000"/>
              </w:rPr>
            </w:pPr>
            <w:r w:rsidRPr="00627052">
              <w:rPr>
                <w:rFonts w:cstheme="minorHAnsi"/>
                <w:color w:val="000000"/>
              </w:rPr>
              <w:t>Dodanie do pojęcia  -  kompetencje informacyjno-komunikacyjne współpracy za pomocą technologii cyfrowej</w:t>
            </w:r>
            <w:r>
              <w:rPr>
                <w:rFonts w:cstheme="minorHAnsi"/>
                <w:color w:val="000000"/>
              </w:rPr>
              <w:t>.</w:t>
            </w:r>
          </w:p>
          <w:p w14:paraId="0DCDC87C"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Duże znaczenie współpracy w procesie komunikacji, budowaniu relacji i realizacji przedsięwzięć.</w:t>
            </w:r>
          </w:p>
        </w:tc>
        <w:tc>
          <w:tcPr>
            <w:tcW w:w="3638" w:type="dxa"/>
          </w:tcPr>
          <w:p w14:paraId="7E9367B0" w14:textId="77777777" w:rsidR="00F158C9" w:rsidRPr="00194614" w:rsidRDefault="00F158C9" w:rsidP="00971FA8">
            <w:pPr>
              <w:rPr>
                <w:b/>
              </w:rPr>
            </w:pPr>
            <w:r w:rsidRPr="00194614">
              <w:rPr>
                <w:b/>
              </w:rPr>
              <w:t>Uwaga nie</w:t>
            </w:r>
            <w:r w:rsidR="00627052" w:rsidRPr="00194614">
              <w:rPr>
                <w:b/>
              </w:rPr>
              <w:t>uwzględnion</w:t>
            </w:r>
            <w:r w:rsidRPr="00194614">
              <w:rPr>
                <w:b/>
              </w:rPr>
              <w:t>a</w:t>
            </w:r>
            <w:r w:rsidR="00627052" w:rsidRPr="00194614">
              <w:rPr>
                <w:b/>
              </w:rPr>
              <w:t>.</w:t>
            </w:r>
          </w:p>
          <w:p w14:paraId="2A90F34C" w14:textId="77FDBA47" w:rsidR="00FB1835" w:rsidRDefault="00627052" w:rsidP="00971FA8">
            <w:r w:rsidRPr="00627052">
              <w:t>Bazujemy na definicji kompetencji cyfrowych określonej w PRKC, która mieści w sobie wymienione przez Państwa kompetencje.</w:t>
            </w:r>
          </w:p>
        </w:tc>
      </w:tr>
      <w:tr w:rsidR="00627052" w14:paraId="2CC5AA09" w14:textId="77777777" w:rsidTr="009D7B6D">
        <w:tc>
          <w:tcPr>
            <w:tcW w:w="704" w:type="dxa"/>
            <w:vAlign w:val="center"/>
          </w:tcPr>
          <w:p w14:paraId="44B9E3B2" w14:textId="77777777" w:rsidR="00627052" w:rsidRDefault="00627052" w:rsidP="009D7B6D">
            <w:pPr>
              <w:pStyle w:val="Akapitzlist"/>
              <w:numPr>
                <w:ilvl w:val="0"/>
                <w:numId w:val="9"/>
              </w:numPr>
              <w:jc w:val="center"/>
            </w:pPr>
          </w:p>
        </w:tc>
        <w:tc>
          <w:tcPr>
            <w:tcW w:w="2264" w:type="dxa"/>
          </w:tcPr>
          <w:p w14:paraId="2A610107" w14:textId="77777777" w:rsidR="00627052" w:rsidRDefault="00627052" w:rsidP="00971FA8">
            <w:r w:rsidRPr="00627052">
              <w:rPr>
                <w:bCs/>
              </w:rPr>
              <w:t>Śląski Związek Gmin i Powiatów</w:t>
            </w:r>
          </w:p>
        </w:tc>
        <w:tc>
          <w:tcPr>
            <w:tcW w:w="2686" w:type="dxa"/>
          </w:tcPr>
          <w:p w14:paraId="66712974" w14:textId="77777777" w:rsidR="00627052" w:rsidRDefault="00627052" w:rsidP="00971FA8">
            <w:r w:rsidRPr="00627052">
              <w:t>Str. 72</w:t>
            </w:r>
          </w:p>
        </w:tc>
        <w:tc>
          <w:tcPr>
            <w:tcW w:w="4737" w:type="dxa"/>
          </w:tcPr>
          <w:p w14:paraId="1E504506" w14:textId="77777777" w:rsidR="00627052" w:rsidRDefault="00627052" w:rsidP="00971FA8">
            <w:pPr>
              <w:spacing w:before="72"/>
              <w:ind w:right="504"/>
              <w:rPr>
                <w:rFonts w:cstheme="minorHAnsi"/>
                <w:color w:val="000000"/>
              </w:rPr>
            </w:pPr>
            <w:r w:rsidRPr="00627052">
              <w:rPr>
                <w:rFonts w:cstheme="minorHAnsi"/>
                <w:color w:val="000000"/>
              </w:rPr>
              <w:t>Poszerzyć Podmioty współpracujące o JST.</w:t>
            </w:r>
          </w:p>
          <w:p w14:paraId="0874B0A7" w14:textId="77777777" w:rsidR="00627052" w:rsidRPr="00C7370A" w:rsidRDefault="00627052" w:rsidP="00971FA8">
            <w:pPr>
              <w:spacing w:before="72"/>
              <w:ind w:right="504"/>
              <w:rPr>
                <w:rFonts w:cstheme="minorHAnsi"/>
                <w:color w:val="000000"/>
              </w:rPr>
            </w:pPr>
            <w:r>
              <w:rPr>
                <w:rFonts w:cstheme="minorHAnsi"/>
                <w:color w:val="000000"/>
              </w:rPr>
              <w:t xml:space="preserve">Uzasadnienie: </w:t>
            </w:r>
            <w:r w:rsidRPr="00627052">
              <w:rPr>
                <w:rFonts w:cstheme="minorHAnsi"/>
                <w:color w:val="000000"/>
              </w:rPr>
              <w:t>e-usługi publiczne tworzone są również przez JST dla swoich mieszkańców i warto jest je promować.</w:t>
            </w:r>
          </w:p>
        </w:tc>
        <w:tc>
          <w:tcPr>
            <w:tcW w:w="3638" w:type="dxa"/>
          </w:tcPr>
          <w:p w14:paraId="562B04D9" w14:textId="77777777" w:rsidR="00194614" w:rsidRDefault="00F158C9" w:rsidP="00971FA8">
            <w:r w:rsidRPr="00194614">
              <w:rPr>
                <w:b/>
              </w:rPr>
              <w:t>Uwaga nie</w:t>
            </w:r>
            <w:r w:rsidR="00627052" w:rsidRPr="00194614">
              <w:rPr>
                <w:b/>
              </w:rPr>
              <w:t>uwzględnion</w:t>
            </w:r>
            <w:r w:rsidRPr="00194614">
              <w:rPr>
                <w:b/>
              </w:rPr>
              <w:t>a</w:t>
            </w:r>
            <w:r w:rsidR="00627052" w:rsidRPr="00627052">
              <w:t xml:space="preserve"> </w:t>
            </w:r>
          </w:p>
          <w:p w14:paraId="7FA9B65A" w14:textId="4B65D4EB" w:rsidR="00627052" w:rsidRDefault="00627052" w:rsidP="00971FA8">
            <w:r w:rsidRPr="00627052">
              <w:t>Działanie II.1.2. Kampanie edukacyjno-informacyjne na rzecz rozwoju społeczeństwa informacyjnego, w tym kompetencji cyfrowych jest działaniem na poziomie ogólnopolskim.</w:t>
            </w:r>
          </w:p>
        </w:tc>
      </w:tr>
      <w:tr w:rsidR="00627052" w14:paraId="684CBD73" w14:textId="77777777" w:rsidTr="009D7B6D">
        <w:tc>
          <w:tcPr>
            <w:tcW w:w="704" w:type="dxa"/>
            <w:vAlign w:val="center"/>
          </w:tcPr>
          <w:p w14:paraId="0FF71688" w14:textId="77777777" w:rsidR="00627052" w:rsidRDefault="00627052" w:rsidP="009D7B6D">
            <w:pPr>
              <w:pStyle w:val="Akapitzlist"/>
              <w:numPr>
                <w:ilvl w:val="0"/>
                <w:numId w:val="9"/>
              </w:numPr>
              <w:jc w:val="center"/>
            </w:pPr>
          </w:p>
        </w:tc>
        <w:tc>
          <w:tcPr>
            <w:tcW w:w="2264" w:type="dxa"/>
          </w:tcPr>
          <w:p w14:paraId="152807B9" w14:textId="77777777" w:rsidR="00627052" w:rsidRDefault="00627052" w:rsidP="00971FA8">
            <w:r w:rsidRPr="00627052">
              <w:rPr>
                <w:bCs/>
              </w:rPr>
              <w:t>Śląski Związek Gmin i Powiatów</w:t>
            </w:r>
          </w:p>
        </w:tc>
        <w:tc>
          <w:tcPr>
            <w:tcW w:w="2686" w:type="dxa"/>
          </w:tcPr>
          <w:p w14:paraId="3BBD040C" w14:textId="77777777" w:rsidR="00627052" w:rsidRDefault="00334F8C" w:rsidP="00971FA8">
            <w:r w:rsidRPr="00334F8C">
              <w:rPr>
                <w:rFonts w:ascii="Calibri" w:eastAsia="Times New Roman" w:hAnsi="Calibri" w:cs="Calibri"/>
                <w:sz w:val="20"/>
                <w:szCs w:val="20"/>
              </w:rPr>
              <w:t>Str.91</w:t>
            </w:r>
          </w:p>
        </w:tc>
        <w:tc>
          <w:tcPr>
            <w:tcW w:w="4737" w:type="dxa"/>
          </w:tcPr>
          <w:p w14:paraId="5D5110E8" w14:textId="77777777" w:rsidR="00627052" w:rsidRDefault="00334F8C" w:rsidP="00971FA8">
            <w:pPr>
              <w:spacing w:before="72"/>
              <w:ind w:right="504"/>
              <w:rPr>
                <w:rFonts w:cstheme="minorHAnsi"/>
                <w:color w:val="000000"/>
              </w:rPr>
            </w:pPr>
            <w:r w:rsidRPr="00334F8C">
              <w:rPr>
                <w:rFonts w:cstheme="minorHAnsi"/>
                <w:color w:val="000000"/>
              </w:rPr>
              <w:t>W opisie zmienić na cztery typy szkoleń.</w:t>
            </w:r>
            <w:r>
              <w:rPr>
                <w:rFonts w:cstheme="minorHAnsi"/>
                <w:color w:val="000000"/>
              </w:rPr>
              <w:t xml:space="preserve"> </w:t>
            </w:r>
            <w:r w:rsidRPr="00334F8C">
              <w:rPr>
                <w:rFonts w:cstheme="minorHAnsi"/>
                <w:color w:val="000000"/>
              </w:rPr>
              <w:t>Rozdzielić szkolenia dla kadry zarządzającej od pracowników działów IT.</w:t>
            </w:r>
          </w:p>
          <w:p w14:paraId="0A02783D" w14:textId="77777777" w:rsidR="00334F8C" w:rsidRPr="00C7370A" w:rsidRDefault="00334F8C" w:rsidP="00971FA8">
            <w:pPr>
              <w:spacing w:before="72"/>
              <w:ind w:right="504"/>
              <w:rPr>
                <w:rFonts w:cstheme="minorHAnsi"/>
                <w:color w:val="000000"/>
              </w:rPr>
            </w:pPr>
            <w:r>
              <w:rPr>
                <w:rFonts w:cstheme="minorHAnsi"/>
                <w:color w:val="000000"/>
              </w:rPr>
              <w:t xml:space="preserve">Uzasadnienie: </w:t>
            </w:r>
            <w:r w:rsidRPr="00334F8C">
              <w:rPr>
                <w:rFonts w:cstheme="minorHAnsi"/>
                <w:color w:val="000000"/>
              </w:rPr>
              <w:t>Szkolenia mają inny zakres.</w:t>
            </w:r>
          </w:p>
        </w:tc>
        <w:tc>
          <w:tcPr>
            <w:tcW w:w="3638" w:type="dxa"/>
          </w:tcPr>
          <w:p w14:paraId="1BCB7B7A" w14:textId="59338C6E" w:rsidR="00627052" w:rsidRDefault="001904EF" w:rsidP="00971FA8">
            <w:r w:rsidRPr="00194614">
              <w:rPr>
                <w:b/>
              </w:rPr>
              <w:t>Uwaga nie</w:t>
            </w:r>
            <w:r w:rsidR="00334F8C" w:rsidRPr="00194614">
              <w:rPr>
                <w:b/>
              </w:rPr>
              <w:t>uwzględnion</w:t>
            </w:r>
            <w:r w:rsidRPr="00194614">
              <w:rPr>
                <w:b/>
              </w:rPr>
              <w:t>a</w:t>
            </w:r>
            <w:r w:rsidR="00334F8C" w:rsidRPr="00194614">
              <w:rPr>
                <w:b/>
              </w:rPr>
              <w:t>.</w:t>
            </w:r>
            <w:r w:rsidR="00334F8C" w:rsidRPr="00334F8C">
              <w:t xml:space="preserve"> Ze względu na horyzontalny charakter PRKC nie należy interpretować zapisu w sposób wskazujący na uczestnictwo tylko w jednym typie szkolenia. Konkretny typ szkolenia zostanie określony na etapie wdrażania działania, w zależności od potrzeb.</w:t>
            </w:r>
          </w:p>
        </w:tc>
      </w:tr>
      <w:tr w:rsidR="00334F8C" w14:paraId="1BDB2663" w14:textId="77777777" w:rsidTr="009D7B6D">
        <w:tc>
          <w:tcPr>
            <w:tcW w:w="704" w:type="dxa"/>
            <w:vAlign w:val="center"/>
          </w:tcPr>
          <w:p w14:paraId="1F46CFB7" w14:textId="77777777" w:rsidR="00334F8C" w:rsidRDefault="00334F8C" w:rsidP="009D7B6D">
            <w:pPr>
              <w:pStyle w:val="Akapitzlist"/>
              <w:numPr>
                <w:ilvl w:val="0"/>
                <w:numId w:val="9"/>
              </w:numPr>
              <w:jc w:val="center"/>
            </w:pPr>
          </w:p>
        </w:tc>
        <w:tc>
          <w:tcPr>
            <w:tcW w:w="2264" w:type="dxa"/>
          </w:tcPr>
          <w:p w14:paraId="7A9B6037" w14:textId="77777777" w:rsidR="00334F8C" w:rsidRDefault="00E50040" w:rsidP="00971FA8">
            <w:r w:rsidRPr="00E50040">
              <w:rPr>
                <w:bCs/>
              </w:rPr>
              <w:t>Unia Metropolii Polskich</w:t>
            </w:r>
          </w:p>
        </w:tc>
        <w:tc>
          <w:tcPr>
            <w:tcW w:w="2686" w:type="dxa"/>
          </w:tcPr>
          <w:p w14:paraId="35C71BC9" w14:textId="77777777" w:rsidR="00E50040" w:rsidRPr="00E50040" w:rsidRDefault="00E50040" w:rsidP="00971FA8">
            <w:pPr>
              <w:rPr>
                <w:bCs/>
              </w:rPr>
            </w:pPr>
            <w:r w:rsidRPr="00E50040">
              <w:rPr>
                <w:bCs/>
              </w:rPr>
              <w:t>5.8 Specjaliści ICT</w:t>
            </w:r>
          </w:p>
          <w:p w14:paraId="3281C6F6" w14:textId="77777777" w:rsidR="00E50040" w:rsidRPr="00E50040" w:rsidRDefault="00E50040" w:rsidP="00971FA8">
            <w:pPr>
              <w:rPr>
                <w:bCs/>
              </w:rPr>
            </w:pPr>
          </w:p>
          <w:p w14:paraId="37BA9625" w14:textId="77777777" w:rsidR="00E50040" w:rsidRPr="00E50040" w:rsidRDefault="00E50040" w:rsidP="00971FA8">
            <w:pPr>
              <w:rPr>
                <w:bCs/>
              </w:rPr>
            </w:pPr>
            <w:r w:rsidRPr="00E50040">
              <w:rPr>
                <w:bCs/>
              </w:rPr>
              <w:t xml:space="preserve">w związku z punktami </w:t>
            </w:r>
          </w:p>
          <w:p w14:paraId="0C1EEDEC" w14:textId="77777777" w:rsidR="00E50040" w:rsidRPr="00E50040" w:rsidRDefault="00E50040" w:rsidP="00971FA8">
            <w:pPr>
              <w:rPr>
                <w:bCs/>
              </w:rPr>
            </w:pPr>
          </w:p>
          <w:p w14:paraId="199A4077" w14:textId="77777777" w:rsidR="00E50040" w:rsidRPr="00E50040" w:rsidRDefault="00E50040" w:rsidP="00971FA8">
            <w:pPr>
              <w:rPr>
                <w:bCs/>
              </w:rPr>
            </w:pPr>
            <w:r w:rsidRPr="00E50040">
              <w:rPr>
                <w:bCs/>
              </w:rPr>
              <w:t>10. Priorytety, cele szczegółowe i działania PRKC</w:t>
            </w:r>
          </w:p>
          <w:p w14:paraId="4DA7E4E1" w14:textId="77777777" w:rsidR="00E50040" w:rsidRPr="00E50040" w:rsidRDefault="00E50040" w:rsidP="00971FA8">
            <w:pPr>
              <w:rPr>
                <w:bCs/>
              </w:rPr>
            </w:pPr>
          </w:p>
          <w:p w14:paraId="3D0468CD" w14:textId="77777777" w:rsidR="00334F8C" w:rsidRDefault="00E50040" w:rsidP="00971FA8">
            <w:r w:rsidRPr="00E50040">
              <w:rPr>
                <w:bCs/>
              </w:rPr>
              <w:t>III.3. Pracownicy sektora publicznego</w:t>
            </w:r>
          </w:p>
        </w:tc>
        <w:tc>
          <w:tcPr>
            <w:tcW w:w="4737" w:type="dxa"/>
          </w:tcPr>
          <w:p w14:paraId="6D354AE0" w14:textId="77777777" w:rsidR="00EE198F" w:rsidRPr="00EE198F" w:rsidRDefault="00EE198F" w:rsidP="00971FA8">
            <w:pPr>
              <w:spacing w:before="72"/>
              <w:ind w:right="504"/>
              <w:rPr>
                <w:rFonts w:cstheme="minorHAnsi"/>
                <w:bCs/>
                <w:color w:val="000000"/>
              </w:rPr>
            </w:pPr>
            <w:r w:rsidRPr="00EE198F">
              <w:rPr>
                <w:rFonts w:cstheme="minorHAnsi"/>
                <w:bCs/>
                <w:color w:val="000000"/>
              </w:rPr>
              <w:t>Słusznie zauważono potrzebę zwiększania liczby specjalistów ICT.</w:t>
            </w:r>
          </w:p>
          <w:p w14:paraId="30865B60" w14:textId="77777777" w:rsidR="00EE198F" w:rsidRPr="00EE198F" w:rsidRDefault="00EE198F" w:rsidP="00971FA8">
            <w:pPr>
              <w:spacing w:before="72"/>
              <w:ind w:right="504"/>
              <w:rPr>
                <w:rFonts w:cstheme="minorHAnsi"/>
                <w:bCs/>
                <w:color w:val="000000"/>
              </w:rPr>
            </w:pPr>
            <w:r w:rsidRPr="00EE198F">
              <w:rPr>
                <w:rFonts w:cstheme="minorHAnsi"/>
                <w:bCs/>
                <w:color w:val="000000"/>
              </w:rPr>
              <w:t>Słusznie zauważono potrzebę zwiększania kompetencji specjalistów ICT.</w:t>
            </w:r>
          </w:p>
          <w:p w14:paraId="2D6C5036" w14:textId="77777777" w:rsidR="00EE198F" w:rsidRPr="00EE198F" w:rsidRDefault="00EE198F" w:rsidP="00971FA8">
            <w:pPr>
              <w:spacing w:before="72"/>
              <w:ind w:right="504"/>
              <w:rPr>
                <w:rFonts w:cstheme="minorHAnsi"/>
                <w:bCs/>
                <w:color w:val="000000"/>
              </w:rPr>
            </w:pPr>
            <w:r w:rsidRPr="00EE198F">
              <w:rPr>
                <w:rFonts w:cstheme="minorHAnsi"/>
                <w:bCs/>
                <w:color w:val="000000"/>
              </w:rPr>
              <w:t>Słusznie zauważano kluczową rolę specjalistów ICT w transformacji cyfrowej kraju.</w:t>
            </w:r>
          </w:p>
          <w:p w14:paraId="2F4DF565" w14:textId="77777777" w:rsidR="00334F8C" w:rsidRDefault="00EE198F" w:rsidP="00971FA8">
            <w:pPr>
              <w:spacing w:before="72"/>
              <w:ind w:right="504"/>
              <w:rPr>
                <w:rFonts w:cstheme="minorHAnsi"/>
                <w:bCs/>
                <w:color w:val="000000"/>
              </w:rPr>
            </w:pPr>
            <w:r w:rsidRPr="00EE198F">
              <w:rPr>
                <w:rFonts w:cstheme="minorHAnsi"/>
                <w:bCs/>
                <w:color w:val="000000"/>
              </w:rPr>
              <w:t xml:space="preserve">Program, poza szkoleniami w dalece niewystarczającej ilości i zakresie, nie proponuje żadnych działań czy wsparcia w celu przyciągania specjalistów ICT do pracy w sektorze publicznym, systemowego wspierania kształcenia specjalistów w celu ich przyszłego zatrudniania w sektorze publicznym (specyfika) i podnoszenia ich kompetencji. Proponujemy opracować i uwzględnić odpowiednia działania i zmiany w przepisach (dot. nie tylko przepisów kształtujących  wynagrodzenia sfery administracji samorządowej ale także systemowe rozwiązania branżowe z zakresu kształcenia na poziomie szkolnictwa wyższego, tak aby uwzględnić specjalizację pracy informatycznej w </w:t>
            </w:r>
            <w:proofErr w:type="spellStart"/>
            <w:r w:rsidRPr="00EE198F">
              <w:rPr>
                <w:rFonts w:cstheme="minorHAnsi"/>
                <w:bCs/>
                <w:color w:val="000000"/>
              </w:rPr>
              <w:t>jst</w:t>
            </w:r>
            <w:proofErr w:type="spellEnd"/>
            <w:r w:rsidRPr="00EE198F">
              <w:rPr>
                <w:rFonts w:cstheme="minorHAnsi"/>
                <w:bCs/>
                <w:color w:val="000000"/>
              </w:rPr>
              <w:t>)</w:t>
            </w:r>
            <w:r>
              <w:rPr>
                <w:rFonts w:cstheme="minorHAnsi"/>
                <w:bCs/>
                <w:color w:val="000000"/>
              </w:rPr>
              <w:t>.</w:t>
            </w:r>
          </w:p>
          <w:p w14:paraId="5CCBEBFF" w14:textId="77777777" w:rsidR="00EE198F" w:rsidRPr="00EE198F" w:rsidRDefault="00EE198F" w:rsidP="00971FA8">
            <w:pPr>
              <w:spacing w:before="72"/>
              <w:ind w:right="504"/>
              <w:rPr>
                <w:rFonts w:cstheme="minorHAnsi"/>
                <w:bCs/>
                <w:color w:val="000000"/>
              </w:rPr>
            </w:pPr>
            <w:r>
              <w:rPr>
                <w:rFonts w:cstheme="minorHAnsi"/>
                <w:bCs/>
                <w:color w:val="000000"/>
              </w:rPr>
              <w:lastRenderedPageBreak/>
              <w:t xml:space="preserve">Uzasadnienie: </w:t>
            </w:r>
            <w:r w:rsidRPr="00EE198F">
              <w:rPr>
                <w:rFonts w:cstheme="minorHAnsi"/>
                <w:bCs/>
                <w:color w:val="000000"/>
              </w:rPr>
              <w:t>Do porównania przeciętne wynagrodzenie brutto w październiku 2020 r. grupy zawodowej specjalistów ICT 10 210 zł a przeciętne miesięczne wynagrodzenie w administracji samorządu terytorialnego 5828,24 zł brutto.</w:t>
            </w:r>
          </w:p>
          <w:p w14:paraId="16297A58" w14:textId="77777777" w:rsidR="00EE198F" w:rsidRPr="00EE198F" w:rsidRDefault="00EE198F" w:rsidP="00971FA8">
            <w:pPr>
              <w:spacing w:before="72"/>
              <w:ind w:right="504"/>
              <w:rPr>
                <w:rFonts w:cstheme="minorHAnsi"/>
                <w:bCs/>
                <w:color w:val="000000"/>
              </w:rPr>
            </w:pPr>
          </w:p>
          <w:p w14:paraId="50473A3D" w14:textId="77777777" w:rsidR="00EE198F" w:rsidRPr="00EE198F" w:rsidRDefault="00EE198F" w:rsidP="00971FA8">
            <w:pPr>
              <w:spacing w:before="72"/>
              <w:ind w:right="504"/>
              <w:rPr>
                <w:rFonts w:cstheme="minorHAnsi"/>
                <w:bCs/>
                <w:color w:val="000000"/>
              </w:rPr>
            </w:pPr>
            <w:r w:rsidRPr="00EE198F">
              <w:rPr>
                <w:rFonts w:cstheme="minorHAnsi"/>
                <w:bCs/>
                <w:color w:val="000000"/>
              </w:rPr>
              <w:t>[za autorem] Tylko 3,8% absolwentów uczelni w Polsce kończyło naukę w dziedzinie ICT. W krajach takich jak Estonia, Irlandia i Finlandia odsetek ten wyniósł ponad 7%. Niedobór zaawansowanych kompetencji cyfrowych stanowi duże ograniczenia dla rozwoju gospodarki cyfrowej, jak również w dziedzinie zastosowań technologii teleinformatycznych w pozostałych sektorach gospodarki i usług publicznych.</w:t>
            </w:r>
          </w:p>
        </w:tc>
        <w:tc>
          <w:tcPr>
            <w:tcW w:w="3638" w:type="dxa"/>
          </w:tcPr>
          <w:p w14:paraId="57921FCF" w14:textId="2A848B19" w:rsidR="00334F8C" w:rsidRDefault="001904EF" w:rsidP="00971FA8">
            <w:r w:rsidRPr="00194614">
              <w:rPr>
                <w:b/>
                <w:bCs/>
              </w:rPr>
              <w:lastRenderedPageBreak/>
              <w:t>Uwaga nie</w:t>
            </w:r>
            <w:r w:rsidR="00474912" w:rsidRPr="00194614">
              <w:rPr>
                <w:b/>
                <w:bCs/>
              </w:rPr>
              <w:t>uwzględnion</w:t>
            </w:r>
            <w:r w:rsidRPr="00194614">
              <w:rPr>
                <w:b/>
                <w:bCs/>
              </w:rPr>
              <w:t>a</w:t>
            </w:r>
            <w:r w:rsidR="00474912">
              <w:rPr>
                <w:bCs/>
              </w:rPr>
              <w:t xml:space="preserve">. </w:t>
            </w:r>
            <w:r w:rsidR="00EE198F" w:rsidRPr="00EE198F">
              <w:rPr>
                <w:bCs/>
              </w:rPr>
              <w:t>Problem rozbieżności między zarobkami specjalistów ICT a pracowników JST, wsparcie finansowe którejkolwiek z grup zawodowych, czy budowanie systemu motywacyjnego dla tych grup leży poza obszarem działań PRKC. CRKC jest świadome tych problemów, jednak PRKC nie jest dokumentem właściwym do ich rozwiązania.</w:t>
            </w:r>
          </w:p>
        </w:tc>
      </w:tr>
      <w:tr w:rsidR="00E50040" w14:paraId="6819AD23" w14:textId="77777777" w:rsidTr="009D7B6D">
        <w:tc>
          <w:tcPr>
            <w:tcW w:w="704" w:type="dxa"/>
            <w:vAlign w:val="center"/>
          </w:tcPr>
          <w:p w14:paraId="415C63CE" w14:textId="77777777" w:rsidR="00E50040" w:rsidRDefault="00E50040" w:rsidP="009D7B6D">
            <w:pPr>
              <w:pStyle w:val="Akapitzlist"/>
              <w:numPr>
                <w:ilvl w:val="0"/>
                <w:numId w:val="9"/>
              </w:numPr>
              <w:jc w:val="center"/>
            </w:pPr>
          </w:p>
        </w:tc>
        <w:tc>
          <w:tcPr>
            <w:tcW w:w="2264" w:type="dxa"/>
          </w:tcPr>
          <w:p w14:paraId="106DA663" w14:textId="77777777" w:rsidR="00E50040" w:rsidRDefault="00E50040" w:rsidP="00971FA8">
            <w:r w:rsidRPr="00E50040">
              <w:rPr>
                <w:bCs/>
              </w:rPr>
              <w:t>Unia Metropolii Polskich</w:t>
            </w:r>
          </w:p>
        </w:tc>
        <w:tc>
          <w:tcPr>
            <w:tcW w:w="2686" w:type="dxa"/>
          </w:tcPr>
          <w:p w14:paraId="5994E18E" w14:textId="77777777" w:rsidR="00E50040" w:rsidRDefault="00EE198F" w:rsidP="00971FA8">
            <w:r w:rsidRPr="00EE198F">
              <w:rPr>
                <w:bCs/>
              </w:rPr>
              <w:t>Str. 61</w:t>
            </w:r>
          </w:p>
        </w:tc>
        <w:tc>
          <w:tcPr>
            <w:tcW w:w="4737" w:type="dxa"/>
          </w:tcPr>
          <w:p w14:paraId="3F9DEA44" w14:textId="77777777" w:rsidR="00E50040" w:rsidRDefault="00EE198F" w:rsidP="00971FA8">
            <w:pPr>
              <w:spacing w:before="72"/>
              <w:ind w:right="504"/>
              <w:rPr>
                <w:rFonts w:cstheme="minorHAnsi"/>
                <w:color w:val="000000"/>
              </w:rPr>
            </w:pPr>
            <w:r w:rsidRPr="00EE198F">
              <w:rPr>
                <w:rFonts w:cstheme="minorHAnsi"/>
                <w:color w:val="000000"/>
              </w:rPr>
              <w:t xml:space="preserve">W ramach działania opracowane zostaną scenariusze lekcji o </w:t>
            </w:r>
            <w:proofErr w:type="spellStart"/>
            <w:r w:rsidRPr="00EE198F">
              <w:rPr>
                <w:rFonts w:cstheme="minorHAnsi"/>
                <w:color w:val="000000"/>
              </w:rPr>
              <w:t>cyberbezpieczeństwie</w:t>
            </w:r>
            <w:proofErr w:type="spellEnd"/>
            <w:r w:rsidRPr="00EE198F">
              <w:rPr>
                <w:rFonts w:cstheme="minorHAnsi"/>
                <w:color w:val="000000"/>
              </w:rPr>
              <w:t xml:space="preserve"> dla szkół podstawowych i ponadpodstawowych (z uwzględnieniem mechanizmów weryfikujących w praktyce zdobytą wiedze), przeprowadzone zostaną szkolenia dla nauczycieli oraz działania promujące projekt.</w:t>
            </w:r>
          </w:p>
          <w:p w14:paraId="2830F8D6" w14:textId="77777777" w:rsidR="00EE198F" w:rsidRPr="00EE198F" w:rsidRDefault="00EE198F" w:rsidP="00971FA8">
            <w:pPr>
              <w:spacing w:before="72"/>
              <w:ind w:right="504"/>
              <w:rPr>
                <w:rFonts w:cstheme="minorHAnsi"/>
                <w:bCs/>
                <w:color w:val="000000"/>
              </w:rPr>
            </w:pPr>
            <w:r>
              <w:rPr>
                <w:rFonts w:cstheme="minorHAnsi"/>
                <w:color w:val="000000"/>
              </w:rPr>
              <w:t xml:space="preserve">Uzasadnienie: </w:t>
            </w:r>
            <w:r w:rsidRPr="00EE198F">
              <w:rPr>
                <w:rFonts w:cstheme="minorHAnsi"/>
                <w:bCs/>
                <w:color w:val="000000"/>
              </w:rPr>
              <w:t>Brak mechanizmów weryfikujących w praktyce zdobytą wiedze.</w:t>
            </w:r>
          </w:p>
          <w:p w14:paraId="79C7042D" w14:textId="77777777" w:rsidR="00EE198F" w:rsidRPr="00C7370A" w:rsidRDefault="00EE198F" w:rsidP="00971FA8">
            <w:pPr>
              <w:spacing w:before="72"/>
              <w:ind w:right="504"/>
              <w:rPr>
                <w:rFonts w:cstheme="minorHAnsi"/>
                <w:color w:val="000000"/>
              </w:rPr>
            </w:pPr>
            <w:r w:rsidRPr="00EE198F">
              <w:rPr>
                <w:rFonts w:cstheme="minorHAnsi"/>
                <w:bCs/>
                <w:color w:val="000000"/>
              </w:rPr>
              <w:t>Generalna uwaga do wszystkich działań związanych z edukacja.</w:t>
            </w:r>
          </w:p>
        </w:tc>
        <w:tc>
          <w:tcPr>
            <w:tcW w:w="3638" w:type="dxa"/>
          </w:tcPr>
          <w:p w14:paraId="418B8CD4" w14:textId="77777777" w:rsidR="001904EF" w:rsidRPr="00194614" w:rsidRDefault="001904EF" w:rsidP="00971FA8">
            <w:pPr>
              <w:rPr>
                <w:b/>
                <w:bCs/>
              </w:rPr>
            </w:pPr>
            <w:r w:rsidRPr="00194614">
              <w:rPr>
                <w:b/>
                <w:bCs/>
              </w:rPr>
              <w:t>Uwaga nieuwzględniona</w:t>
            </w:r>
            <w:r w:rsidR="006E771F" w:rsidRPr="00194614">
              <w:rPr>
                <w:b/>
                <w:bCs/>
              </w:rPr>
              <w:t xml:space="preserve">. </w:t>
            </w:r>
          </w:p>
          <w:p w14:paraId="62F83BC4" w14:textId="14D4C4B8" w:rsidR="00E50040" w:rsidRDefault="00EE198F" w:rsidP="00971FA8">
            <w:r w:rsidRPr="00EE198F">
              <w:rPr>
                <w:bCs/>
              </w:rPr>
              <w:t>Ze względu na różnorodność działań nie przewidujemy wprowadzania mechanizmów weryfikujących wiedzę na poziomie całego PRKC, tylko na poziomie poszczególnych działań, w zależności od ich specyfiki oraz specyfiki grupy docelowej.</w:t>
            </w:r>
          </w:p>
        </w:tc>
      </w:tr>
      <w:tr w:rsidR="00EE198F" w14:paraId="5C4E8B18" w14:textId="77777777" w:rsidTr="009D7B6D">
        <w:tc>
          <w:tcPr>
            <w:tcW w:w="704" w:type="dxa"/>
            <w:vAlign w:val="center"/>
          </w:tcPr>
          <w:p w14:paraId="2D5C4F15" w14:textId="77777777" w:rsidR="00EE198F" w:rsidRDefault="00EE198F" w:rsidP="009D7B6D">
            <w:pPr>
              <w:pStyle w:val="Akapitzlist"/>
              <w:numPr>
                <w:ilvl w:val="0"/>
                <w:numId w:val="9"/>
              </w:numPr>
              <w:jc w:val="center"/>
            </w:pPr>
          </w:p>
        </w:tc>
        <w:tc>
          <w:tcPr>
            <w:tcW w:w="2264" w:type="dxa"/>
          </w:tcPr>
          <w:p w14:paraId="4952B58A" w14:textId="77777777" w:rsidR="00EE198F" w:rsidRDefault="00EE198F" w:rsidP="00971FA8">
            <w:r w:rsidRPr="00EE198F">
              <w:rPr>
                <w:bCs/>
              </w:rPr>
              <w:t>Unia Metropolii Polskich</w:t>
            </w:r>
          </w:p>
        </w:tc>
        <w:tc>
          <w:tcPr>
            <w:tcW w:w="2686" w:type="dxa"/>
          </w:tcPr>
          <w:p w14:paraId="050B51F8" w14:textId="77777777" w:rsidR="00EE198F" w:rsidRPr="00EE198F" w:rsidRDefault="00EE198F" w:rsidP="00971FA8">
            <w:pPr>
              <w:rPr>
                <w:bCs/>
              </w:rPr>
            </w:pPr>
            <w:r w:rsidRPr="00EE198F">
              <w:rPr>
                <w:bCs/>
              </w:rPr>
              <w:t>13. Monitorowanie i ewaluacja; str. 115, 116</w:t>
            </w:r>
          </w:p>
          <w:p w14:paraId="1E543A9D" w14:textId="77777777" w:rsidR="00EE198F" w:rsidRDefault="00EE198F" w:rsidP="00971FA8"/>
        </w:tc>
        <w:tc>
          <w:tcPr>
            <w:tcW w:w="4737" w:type="dxa"/>
          </w:tcPr>
          <w:p w14:paraId="20595042" w14:textId="77777777" w:rsidR="00EE198F" w:rsidRDefault="00EE198F" w:rsidP="00971FA8">
            <w:pPr>
              <w:spacing w:before="72"/>
              <w:ind w:right="504"/>
              <w:rPr>
                <w:rFonts w:cstheme="minorHAnsi"/>
                <w:bCs/>
                <w:color w:val="000000"/>
              </w:rPr>
            </w:pPr>
            <w:r w:rsidRPr="00EE198F">
              <w:rPr>
                <w:rFonts w:cstheme="minorHAnsi"/>
                <w:bCs/>
                <w:color w:val="000000"/>
              </w:rPr>
              <w:t>Propozycja zdefiniowania mierników odpowiadających pomiarowi efektywności działań i wydatkowanych środków</w:t>
            </w:r>
            <w:r>
              <w:rPr>
                <w:rFonts w:cstheme="minorHAnsi"/>
                <w:bCs/>
                <w:color w:val="000000"/>
              </w:rPr>
              <w:t>.</w:t>
            </w:r>
          </w:p>
          <w:p w14:paraId="1D68C8CC"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Dobór mierników do monitorowania programu w zakresie działań III.3.1-9, w tym dot. Przyjazny Urząd, jakim jest liczba przeszkolonych osób jest niewłaściwy z punktu widzenia efektywności działań i wydatkowania środków finansowych. Odpowiedni dobór miernika powinien odpowiadać efektom jak np. (Działanie III.3.1. Szkolenia kompetencji cyfrowych pracowników administracji publicznej - str. 86): „W efekcie realizacji działania nastąpi wzrost wykorzystania e-usług, umożliwiających załatwianie spraw urzędowych w trybie zdalnym, bez wychodzenia z domu.” </w:t>
            </w:r>
          </w:p>
          <w:p w14:paraId="57EC0543" w14:textId="77777777" w:rsidR="00EE198F" w:rsidRPr="00EE198F" w:rsidRDefault="00EE198F" w:rsidP="00971FA8">
            <w:pPr>
              <w:spacing w:before="72"/>
              <w:ind w:right="504"/>
              <w:rPr>
                <w:rFonts w:cstheme="minorHAnsi"/>
                <w:bCs/>
                <w:color w:val="000000"/>
              </w:rPr>
            </w:pPr>
            <w:r w:rsidRPr="00EE198F">
              <w:rPr>
                <w:rFonts w:cstheme="minorHAnsi"/>
                <w:bCs/>
                <w:color w:val="000000"/>
              </w:rPr>
              <w:t>Proponujemy zmianę miernika III.3.8 z “Liczba uczestników szkoleń dla pracowników administracji publicznej” na “Liczba dostępnych e-usług np. w stosunku do wartości bazowej” lub “wskaźnik spraw załatwionych drogą elektroniczną”</w:t>
            </w:r>
            <w:r>
              <w:rPr>
                <w:rFonts w:cstheme="minorHAnsi"/>
                <w:bCs/>
                <w:color w:val="000000"/>
              </w:rPr>
              <w:t>.</w:t>
            </w:r>
          </w:p>
        </w:tc>
        <w:tc>
          <w:tcPr>
            <w:tcW w:w="3638" w:type="dxa"/>
          </w:tcPr>
          <w:p w14:paraId="24696F86" w14:textId="290C3C41" w:rsidR="001904EF" w:rsidRPr="00194614" w:rsidRDefault="001904EF" w:rsidP="00971FA8">
            <w:pPr>
              <w:rPr>
                <w:b/>
                <w:bCs/>
              </w:rPr>
            </w:pPr>
            <w:r w:rsidRPr="00194614">
              <w:rPr>
                <w:b/>
                <w:bCs/>
              </w:rPr>
              <w:t>Uwaga nieuwzględniona</w:t>
            </w:r>
            <w:r w:rsidR="006E771F" w:rsidRPr="00194614">
              <w:rPr>
                <w:b/>
                <w:bCs/>
              </w:rPr>
              <w:t>.</w:t>
            </w:r>
          </w:p>
          <w:p w14:paraId="1492BC4D" w14:textId="7BE8299D" w:rsidR="00EE198F" w:rsidRDefault="00EE198F" w:rsidP="00971FA8">
            <w:r w:rsidRPr="00EE198F">
              <w:rPr>
                <w:bCs/>
              </w:rPr>
              <w:t xml:space="preserve">Dla całego PRKC najważniejszym rezultatem jest wzrost kompetencji cyfrowych, do którego prowadzić będą szkolenia. Dlatego zostaniemy przy wskaźnikach zapisanych w projekcie PRKC, tym bardziej, że proponowany wskaźniki „Liczba dostępnych e-usług” nie zależy tylko od realizacji PRKC, a jeszcze od wielu różnych czynników, więc nie byłby miarodajny jeśli chodzi o efektywność Programu.    </w:t>
            </w:r>
          </w:p>
        </w:tc>
      </w:tr>
      <w:tr w:rsidR="00EE198F" w14:paraId="10AB4D82" w14:textId="77777777" w:rsidTr="009D7B6D">
        <w:tc>
          <w:tcPr>
            <w:tcW w:w="704" w:type="dxa"/>
            <w:vAlign w:val="center"/>
          </w:tcPr>
          <w:p w14:paraId="4C3B0F9B" w14:textId="77777777" w:rsidR="00EE198F" w:rsidRDefault="00EE198F" w:rsidP="009D7B6D">
            <w:pPr>
              <w:pStyle w:val="Akapitzlist"/>
              <w:numPr>
                <w:ilvl w:val="0"/>
                <w:numId w:val="9"/>
              </w:numPr>
              <w:jc w:val="center"/>
            </w:pPr>
          </w:p>
        </w:tc>
        <w:tc>
          <w:tcPr>
            <w:tcW w:w="2264" w:type="dxa"/>
          </w:tcPr>
          <w:p w14:paraId="10D278C4" w14:textId="77777777" w:rsidR="00EE198F" w:rsidRDefault="00EE198F" w:rsidP="00971FA8">
            <w:r w:rsidRPr="00EE198F">
              <w:rPr>
                <w:bCs/>
              </w:rPr>
              <w:t>Unia Metropolii Polskich</w:t>
            </w:r>
          </w:p>
        </w:tc>
        <w:tc>
          <w:tcPr>
            <w:tcW w:w="2686" w:type="dxa"/>
          </w:tcPr>
          <w:p w14:paraId="756FA74E" w14:textId="77777777" w:rsidR="00EE198F" w:rsidRPr="00EE198F" w:rsidRDefault="00EE198F" w:rsidP="00971FA8">
            <w:pPr>
              <w:rPr>
                <w:bCs/>
              </w:rPr>
            </w:pPr>
            <w:r w:rsidRPr="00EE198F">
              <w:rPr>
                <w:bCs/>
              </w:rPr>
              <w:t>I.2.4.Centrum Mistrzostwa Informatycznego str. 111 odniesienie  do  str. 47, pkt. 6.3</w:t>
            </w:r>
          </w:p>
          <w:p w14:paraId="57724CB4" w14:textId="77777777" w:rsidR="00EE198F" w:rsidRDefault="00EE198F" w:rsidP="00971FA8">
            <w:r w:rsidRPr="00EE198F">
              <w:rPr>
                <w:bCs/>
              </w:rPr>
              <w:t>Centrum Mistrzostwa Informatycznego i</w:t>
            </w:r>
          </w:p>
        </w:tc>
        <w:tc>
          <w:tcPr>
            <w:tcW w:w="4737" w:type="dxa"/>
          </w:tcPr>
          <w:p w14:paraId="56F5687C" w14:textId="77777777" w:rsidR="00EE198F" w:rsidRDefault="00EE198F" w:rsidP="00971FA8">
            <w:pPr>
              <w:spacing w:before="72"/>
              <w:ind w:right="504"/>
              <w:rPr>
                <w:rFonts w:cstheme="minorHAnsi"/>
                <w:bCs/>
                <w:color w:val="000000"/>
              </w:rPr>
            </w:pPr>
            <w:r w:rsidRPr="00EE198F">
              <w:rPr>
                <w:rFonts w:cstheme="minorHAnsi"/>
                <w:bCs/>
                <w:color w:val="000000"/>
              </w:rPr>
              <w:t>Wartość bazowa 5 986 nauczycieli i uczniów  objętych wsparciem. W wartości w 2030 roku wpisać &gt; 13</w:t>
            </w:r>
            <w:r>
              <w:rPr>
                <w:rFonts w:cstheme="minorHAnsi"/>
                <w:bCs/>
                <w:color w:val="000000"/>
              </w:rPr>
              <w:t> </w:t>
            </w:r>
            <w:r w:rsidRPr="00EE198F">
              <w:rPr>
                <w:rFonts w:cstheme="minorHAnsi"/>
                <w:bCs/>
                <w:color w:val="000000"/>
              </w:rPr>
              <w:t>000</w:t>
            </w:r>
            <w:r>
              <w:rPr>
                <w:rFonts w:cstheme="minorHAnsi"/>
                <w:bCs/>
                <w:color w:val="000000"/>
              </w:rPr>
              <w:t>.</w:t>
            </w:r>
          </w:p>
          <w:p w14:paraId="1FB647BF"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W ramach projektu planuje się przeszkolić 1500 nauczycieli, 75 innych osób dorosłych oraz 12 000 uczniów. W monitorowaniu i ewaluacji – Wartością bazową jest 5 986 nauczycieli i uczniów </w:t>
            </w:r>
            <w:r w:rsidRPr="00EE198F">
              <w:rPr>
                <w:rFonts w:cstheme="minorHAnsi"/>
                <w:bCs/>
                <w:color w:val="000000"/>
              </w:rPr>
              <w:lastRenderedPageBreak/>
              <w:t>objętych wsparciem  a pożądaną wartością w 2030 roku  jest 13 425.  Wartość pożądana na zakończenie działania najprawdopodobniej powstała jako suma zaplanowanych przeszkoleń nauczycieli (1500) innych osób dorosłych (75) oraz uczniów (12 000) – 13 575.  Nie uwzględniono  wartości bazowej. Wydaje się, że zostało założone 100% zrealizowanego programu.</w:t>
            </w:r>
          </w:p>
        </w:tc>
        <w:tc>
          <w:tcPr>
            <w:tcW w:w="3638" w:type="dxa"/>
          </w:tcPr>
          <w:p w14:paraId="1CA61E47" w14:textId="77777777" w:rsidR="00194614" w:rsidRDefault="001904EF" w:rsidP="00971FA8">
            <w:pPr>
              <w:rPr>
                <w:b/>
                <w:bCs/>
              </w:rPr>
            </w:pPr>
            <w:r w:rsidRPr="00194614">
              <w:rPr>
                <w:b/>
                <w:bCs/>
              </w:rPr>
              <w:lastRenderedPageBreak/>
              <w:t>Uwaga nie</w:t>
            </w:r>
            <w:r w:rsidR="00EE198F" w:rsidRPr="00194614">
              <w:rPr>
                <w:b/>
                <w:bCs/>
              </w:rPr>
              <w:t>uwzględnion</w:t>
            </w:r>
            <w:r w:rsidRPr="00194614">
              <w:rPr>
                <w:b/>
                <w:bCs/>
              </w:rPr>
              <w:t>a</w:t>
            </w:r>
            <w:r w:rsidR="00EE198F" w:rsidRPr="00194614">
              <w:rPr>
                <w:b/>
                <w:bCs/>
              </w:rPr>
              <w:t>.</w:t>
            </w:r>
          </w:p>
          <w:p w14:paraId="2EEB370A" w14:textId="72761F0A" w:rsidR="00EE198F" w:rsidRDefault="00EE198F" w:rsidP="00971FA8">
            <w:r w:rsidRPr="00EE198F">
              <w:rPr>
                <w:bCs/>
              </w:rPr>
              <w:t>Jest wpisana wartość bazowa oraz wartość końcowa.</w:t>
            </w:r>
          </w:p>
        </w:tc>
      </w:tr>
      <w:tr w:rsidR="00EE198F" w14:paraId="29D629FB" w14:textId="77777777" w:rsidTr="009D7B6D">
        <w:tc>
          <w:tcPr>
            <w:tcW w:w="704" w:type="dxa"/>
            <w:vAlign w:val="center"/>
          </w:tcPr>
          <w:p w14:paraId="3D4E35A3" w14:textId="77777777" w:rsidR="00EE198F" w:rsidRDefault="00EE198F" w:rsidP="009D7B6D">
            <w:pPr>
              <w:pStyle w:val="Akapitzlist"/>
              <w:numPr>
                <w:ilvl w:val="0"/>
                <w:numId w:val="9"/>
              </w:numPr>
              <w:jc w:val="center"/>
            </w:pPr>
          </w:p>
        </w:tc>
        <w:tc>
          <w:tcPr>
            <w:tcW w:w="2264" w:type="dxa"/>
          </w:tcPr>
          <w:p w14:paraId="7C6C7D43" w14:textId="77777777" w:rsidR="00EE198F" w:rsidRDefault="00EE198F" w:rsidP="00971FA8">
            <w:r w:rsidRPr="00EE198F">
              <w:rPr>
                <w:bCs/>
              </w:rPr>
              <w:t>Unia Metropolii Polskich</w:t>
            </w:r>
          </w:p>
        </w:tc>
        <w:tc>
          <w:tcPr>
            <w:tcW w:w="2686" w:type="dxa"/>
          </w:tcPr>
          <w:p w14:paraId="690E6561" w14:textId="77777777" w:rsidR="00EE198F" w:rsidRPr="00EE198F" w:rsidRDefault="00EE198F" w:rsidP="00971FA8">
            <w:pPr>
              <w:rPr>
                <w:bCs/>
              </w:rPr>
            </w:pPr>
            <w:r w:rsidRPr="00EE198F">
              <w:rPr>
                <w:bCs/>
              </w:rPr>
              <w:t xml:space="preserve">str. 86 Charakterystyka działań - Działanie III.3.1. </w:t>
            </w:r>
          </w:p>
          <w:p w14:paraId="685425C2" w14:textId="77777777" w:rsidR="00EE198F" w:rsidRDefault="00EE198F" w:rsidP="00971FA8">
            <w:r w:rsidRPr="00EE198F">
              <w:rPr>
                <w:bCs/>
              </w:rPr>
              <w:t>Szkolenia kompetencji cyfrowych pracowników administracji publicznej Urząd Online</w:t>
            </w:r>
          </w:p>
        </w:tc>
        <w:tc>
          <w:tcPr>
            <w:tcW w:w="4737" w:type="dxa"/>
          </w:tcPr>
          <w:p w14:paraId="7F39766A" w14:textId="77777777" w:rsidR="00EE198F" w:rsidRDefault="00EE198F" w:rsidP="00971FA8">
            <w:pPr>
              <w:spacing w:before="72"/>
              <w:ind w:right="504"/>
              <w:rPr>
                <w:rFonts w:cstheme="minorHAnsi"/>
                <w:bCs/>
                <w:color w:val="000000"/>
              </w:rPr>
            </w:pPr>
            <w:r w:rsidRPr="00EE198F">
              <w:rPr>
                <w:rFonts w:cstheme="minorHAnsi"/>
                <w:bCs/>
                <w:color w:val="000000"/>
              </w:rPr>
              <w:t>Uznaniowość przydzielania środków w sprzeczności z transparentnością  - potrzebne jest jasne określenie kryteriów przyznawania środków i wyłączenie uznaniowości w tym zakresie (o czym świadczy sformułowanie zapisu)</w:t>
            </w:r>
            <w:r>
              <w:rPr>
                <w:rFonts w:cstheme="minorHAnsi"/>
                <w:bCs/>
                <w:color w:val="000000"/>
              </w:rPr>
              <w:t>.</w:t>
            </w:r>
          </w:p>
          <w:p w14:paraId="5A80B2C6" w14:textId="77777777" w:rsidR="00EE198F" w:rsidRPr="00EE198F" w:rsidRDefault="00EE198F" w:rsidP="00971FA8">
            <w:pPr>
              <w:spacing w:before="72"/>
              <w:ind w:right="504"/>
              <w:rPr>
                <w:rFonts w:cstheme="minorHAnsi"/>
                <w:bCs/>
                <w:color w:val="000000"/>
              </w:rPr>
            </w:pPr>
            <w:r>
              <w:rPr>
                <w:rFonts w:cstheme="minorHAnsi"/>
                <w:bCs/>
                <w:color w:val="000000"/>
              </w:rPr>
              <w:t xml:space="preserve">Uzasadnienie: </w:t>
            </w:r>
            <w:r w:rsidRPr="00EE198F">
              <w:rPr>
                <w:rFonts w:cstheme="minorHAnsi"/>
                <w:bCs/>
                <w:color w:val="000000"/>
              </w:rPr>
              <w:t xml:space="preserve">Zapis obecny:  laptopy „…zostaną one przekazane dla tych placówek, które wykażą największe zapotrzebowanie poparte </w:t>
            </w:r>
            <w:r>
              <w:rPr>
                <w:rFonts w:cstheme="minorHAnsi"/>
                <w:bCs/>
                <w:color w:val="000000"/>
              </w:rPr>
              <w:t>przeprowadzoną inwentaryzacją.”</w:t>
            </w:r>
          </w:p>
        </w:tc>
        <w:tc>
          <w:tcPr>
            <w:tcW w:w="3638" w:type="dxa"/>
          </w:tcPr>
          <w:p w14:paraId="0B18C183" w14:textId="58CDD78E" w:rsidR="001904EF" w:rsidRPr="00194614" w:rsidRDefault="001904EF" w:rsidP="00971FA8">
            <w:pPr>
              <w:rPr>
                <w:b/>
                <w:bCs/>
              </w:rPr>
            </w:pPr>
            <w:r w:rsidRPr="00194614">
              <w:rPr>
                <w:b/>
                <w:bCs/>
              </w:rPr>
              <w:t>Uwaga nieu</w:t>
            </w:r>
            <w:r w:rsidR="006E771F" w:rsidRPr="00194614">
              <w:rPr>
                <w:b/>
                <w:bCs/>
              </w:rPr>
              <w:t>względnion</w:t>
            </w:r>
            <w:r w:rsidRPr="00194614">
              <w:rPr>
                <w:b/>
                <w:bCs/>
              </w:rPr>
              <w:t>a</w:t>
            </w:r>
            <w:r w:rsidR="006E771F" w:rsidRPr="00194614">
              <w:rPr>
                <w:b/>
                <w:bCs/>
              </w:rPr>
              <w:t xml:space="preserve">. </w:t>
            </w:r>
          </w:p>
          <w:p w14:paraId="16572FEC" w14:textId="7FAF81F0" w:rsidR="00EE198F" w:rsidRDefault="00EE198F" w:rsidP="00971FA8">
            <w:r w:rsidRPr="00EE198F">
              <w:rPr>
                <w:bCs/>
              </w:rPr>
              <w:t>Są to zapisy ogólne, charakteryzujące działania. Jasne, wyłączające uznaniowość kryteria</w:t>
            </w:r>
            <w:r w:rsidR="00712DA3">
              <w:rPr>
                <w:bCs/>
              </w:rPr>
              <w:t>,</w:t>
            </w:r>
            <w:r w:rsidRPr="00EE198F">
              <w:rPr>
                <w:bCs/>
              </w:rPr>
              <w:t xml:space="preserve"> zostaną określone podczas realizacji działania.</w:t>
            </w:r>
          </w:p>
        </w:tc>
      </w:tr>
      <w:tr w:rsidR="00EE198F" w14:paraId="2C9F273E" w14:textId="77777777" w:rsidTr="009D7B6D">
        <w:tc>
          <w:tcPr>
            <w:tcW w:w="704" w:type="dxa"/>
            <w:vAlign w:val="center"/>
          </w:tcPr>
          <w:p w14:paraId="0B6812BB" w14:textId="77777777" w:rsidR="00EE198F" w:rsidRDefault="00EE198F" w:rsidP="009D7B6D">
            <w:pPr>
              <w:pStyle w:val="Akapitzlist"/>
              <w:numPr>
                <w:ilvl w:val="0"/>
                <w:numId w:val="9"/>
              </w:numPr>
              <w:jc w:val="center"/>
            </w:pPr>
          </w:p>
        </w:tc>
        <w:tc>
          <w:tcPr>
            <w:tcW w:w="2264" w:type="dxa"/>
          </w:tcPr>
          <w:p w14:paraId="32A34523" w14:textId="77777777" w:rsidR="00EE198F" w:rsidRDefault="008317C4" w:rsidP="00971FA8">
            <w:r w:rsidRPr="008317C4">
              <w:rPr>
                <w:bCs/>
              </w:rPr>
              <w:t>Unia Metropolii Polskich</w:t>
            </w:r>
          </w:p>
        </w:tc>
        <w:tc>
          <w:tcPr>
            <w:tcW w:w="2686" w:type="dxa"/>
          </w:tcPr>
          <w:p w14:paraId="3CA00D58" w14:textId="77777777" w:rsidR="00EE198F" w:rsidRDefault="008317C4" w:rsidP="00971FA8">
            <w:r w:rsidRPr="008317C4">
              <w:rPr>
                <w:bCs/>
              </w:rPr>
              <w:t>Spis treści, str. 1</w:t>
            </w:r>
          </w:p>
        </w:tc>
        <w:tc>
          <w:tcPr>
            <w:tcW w:w="4737" w:type="dxa"/>
          </w:tcPr>
          <w:p w14:paraId="632CBEF2" w14:textId="77777777" w:rsidR="00EE198F" w:rsidRDefault="008317C4" w:rsidP="00971FA8">
            <w:pPr>
              <w:spacing w:before="72"/>
              <w:ind w:right="504"/>
              <w:rPr>
                <w:rFonts w:cstheme="minorHAnsi"/>
                <w:i/>
                <w:color w:val="000000"/>
              </w:rPr>
            </w:pPr>
            <w:r w:rsidRPr="008317C4">
              <w:rPr>
                <w:rFonts w:cstheme="minorHAnsi"/>
                <w:i/>
                <w:color w:val="000000"/>
              </w:rPr>
              <w:t>5.1 do zmiany w całości</w:t>
            </w:r>
            <w:r>
              <w:rPr>
                <w:rFonts w:cstheme="minorHAnsi"/>
                <w:i/>
                <w:color w:val="000000"/>
              </w:rPr>
              <w:t>.</w:t>
            </w:r>
          </w:p>
          <w:p w14:paraId="46A6477E" w14:textId="77777777" w:rsidR="008317C4" w:rsidRPr="008317C4" w:rsidRDefault="008317C4" w:rsidP="00971FA8">
            <w:pPr>
              <w:spacing w:before="72"/>
              <w:ind w:right="504"/>
              <w:rPr>
                <w:rFonts w:cstheme="minorHAnsi"/>
                <w:color w:val="000000"/>
              </w:rPr>
            </w:pPr>
            <w:r>
              <w:rPr>
                <w:rFonts w:cstheme="minorHAnsi"/>
                <w:color w:val="000000"/>
              </w:rPr>
              <w:t xml:space="preserve">Uzasadnienie: </w:t>
            </w:r>
            <w:r w:rsidRPr="008317C4">
              <w:rPr>
                <w:rFonts w:cstheme="minorHAnsi"/>
                <w:bCs/>
                <w:color w:val="000000"/>
              </w:rPr>
              <w:t xml:space="preserve">Obecna propozycja 5.1 skupia się w nadmiernym stopniu na wykorzystaniu samego Internetu. Internet jest być może najważniejszym medium dostępu do nowych technologii, ale cyfrowe urządzenia wplecione są w tkankę domów, miejsc pracy i przestrzeni publicznej. „Mądre” urządzenia towarzyszą człowiekowi w coraz większej ilości obszarów życia separując go od Internetu, świadcząc dla niego usługi i </w:t>
            </w:r>
            <w:r w:rsidRPr="008317C4">
              <w:rPr>
                <w:rFonts w:cstheme="minorHAnsi"/>
                <w:bCs/>
                <w:color w:val="000000"/>
              </w:rPr>
              <w:lastRenderedPageBreak/>
              <w:t>wykonując za niego wiele coraz bardziej skomplikowanych czynności. Internet lub inne medium komunikacyjne jest tu oczywiście istotne, ale to co ważne w cyfryzacji odbywa się już na wyższym poziomie – na poziomie coraz bardziej inteligentnych usług, wspieranych m.in. przez urządzenia Internetu Rzeczy (</w:t>
            </w:r>
            <w:proofErr w:type="spellStart"/>
            <w:r w:rsidRPr="008317C4">
              <w:rPr>
                <w:rFonts w:cstheme="minorHAnsi"/>
                <w:bCs/>
                <w:color w:val="000000"/>
              </w:rPr>
              <w:t>IoT</w:t>
            </w:r>
            <w:proofErr w:type="spellEnd"/>
            <w:r w:rsidRPr="008317C4">
              <w:rPr>
                <w:rFonts w:cstheme="minorHAnsi"/>
                <w:bCs/>
                <w:color w:val="000000"/>
              </w:rPr>
              <w:t xml:space="preserve">). W tym sensie kompetencje cyfrowe wcale nie muszą się sprowadzać do umiejętności samodzielnego wykonywania pewnych czynności – chodzi bardziej o świadomość, jak w coraz bardziej </w:t>
            </w:r>
            <w:proofErr w:type="spellStart"/>
            <w:r w:rsidRPr="008317C4">
              <w:rPr>
                <w:rFonts w:cstheme="minorHAnsi"/>
                <w:bCs/>
                <w:color w:val="000000"/>
              </w:rPr>
              <w:t>cyfryzującym</w:t>
            </w:r>
            <w:proofErr w:type="spellEnd"/>
            <w:r w:rsidRPr="008317C4">
              <w:rPr>
                <w:rFonts w:cstheme="minorHAnsi"/>
                <w:bCs/>
                <w:color w:val="000000"/>
              </w:rPr>
              <w:t xml:space="preserve"> się otoczeniu poszukiwać pasujących człowiekowi usług oraz otwartości na nowe technologie, w tym o zwalczanie barier w ich wykorzystaniu (np. kontrowersje wokół wejścia technologii 5G). Dokument zbyt mało miejsca poświęca zagadnieniom identyfikacji potrzeb człowieka i uczenia go opcji, jakie dla ich zaspokojenia oferuje rynek cyfrowy.</w:t>
            </w:r>
          </w:p>
        </w:tc>
        <w:tc>
          <w:tcPr>
            <w:tcW w:w="3638" w:type="dxa"/>
          </w:tcPr>
          <w:p w14:paraId="2F08E97B" w14:textId="77777777" w:rsidR="001904EF" w:rsidRPr="00194614" w:rsidRDefault="001904EF" w:rsidP="00971FA8">
            <w:pPr>
              <w:rPr>
                <w:b/>
                <w:bCs/>
              </w:rPr>
            </w:pPr>
            <w:r w:rsidRPr="00194614">
              <w:rPr>
                <w:b/>
                <w:bCs/>
              </w:rPr>
              <w:lastRenderedPageBreak/>
              <w:t>Uwaga n</w:t>
            </w:r>
            <w:r w:rsidR="008317C4" w:rsidRPr="00194614">
              <w:rPr>
                <w:b/>
                <w:bCs/>
              </w:rPr>
              <w:t>ieuwzględnion</w:t>
            </w:r>
            <w:r w:rsidRPr="00194614">
              <w:rPr>
                <w:b/>
                <w:bCs/>
              </w:rPr>
              <w:t>a</w:t>
            </w:r>
            <w:r w:rsidR="008317C4" w:rsidRPr="00194614">
              <w:rPr>
                <w:b/>
                <w:bCs/>
              </w:rPr>
              <w:t xml:space="preserve">. </w:t>
            </w:r>
          </w:p>
          <w:p w14:paraId="74119718" w14:textId="426EC859" w:rsidR="008317C4" w:rsidRPr="008317C4" w:rsidRDefault="008317C4" w:rsidP="00971FA8">
            <w:pPr>
              <w:rPr>
                <w:bCs/>
              </w:rPr>
            </w:pPr>
            <w:r w:rsidRPr="008317C4">
              <w:rPr>
                <w:bCs/>
              </w:rPr>
              <w:t>Już w samym wstępie do PRKC wskazujemy realia w jakich rozwijamy dzisiejsze kompetencje cyfrowe, czyli trwając czwartą rewolucję przemysłową, czyli właśnie to</w:t>
            </w:r>
            <w:r w:rsidR="00712DA3">
              <w:rPr>
                <w:bCs/>
              </w:rPr>
              <w:t>,</w:t>
            </w:r>
            <w:r w:rsidRPr="008317C4">
              <w:rPr>
                <w:bCs/>
              </w:rPr>
              <w:t xml:space="preserve"> czego dotyczy komentarz. Ten wstęp definiuje również technologie tworzące i przełomowe IV rewolucji. Żadna z tych technologii (AI, </w:t>
            </w:r>
            <w:proofErr w:type="spellStart"/>
            <w:r w:rsidRPr="008317C4">
              <w:rPr>
                <w:bCs/>
              </w:rPr>
              <w:t>Cloud</w:t>
            </w:r>
            <w:proofErr w:type="spellEnd"/>
            <w:r w:rsidRPr="008317C4">
              <w:rPr>
                <w:bCs/>
              </w:rPr>
              <w:t xml:space="preserve"> Computing itd.) nie miałaby potencjału takiego rozwoju, gdyby nie </w:t>
            </w:r>
            <w:r w:rsidRPr="008317C4">
              <w:rPr>
                <w:bCs/>
              </w:rPr>
              <w:lastRenderedPageBreak/>
              <w:t xml:space="preserve">łączność, czyli de facto Internet.  W diagnozie PRKC są prezentowane wskaźniki z badań prowadzonych w ramach statystyki społeczeństwa informacyjnego dla całej UE na przestrzeni lat. Jest w nich określona metodologia badania kompetencji cyfrowych. Odrzucając ten sposób badania i rozumienia kompetencji cyfrowych skazujemy się na brak danych i niemożność ich oceny. </w:t>
            </w:r>
          </w:p>
          <w:p w14:paraId="61DE6A41" w14:textId="77777777" w:rsidR="00EE198F" w:rsidRDefault="008317C4" w:rsidP="00971FA8">
            <w:r w:rsidRPr="008317C4">
              <w:rPr>
                <w:bCs/>
              </w:rPr>
              <w:t>W diagnozie wskazujemy również wykorzystywanie nowych technologii ICT np. przed przedsiębiorstwa.</w:t>
            </w:r>
          </w:p>
        </w:tc>
      </w:tr>
      <w:tr w:rsidR="00EE198F" w14:paraId="6C131428" w14:textId="77777777" w:rsidTr="009D7B6D">
        <w:tc>
          <w:tcPr>
            <w:tcW w:w="704" w:type="dxa"/>
            <w:vAlign w:val="center"/>
          </w:tcPr>
          <w:p w14:paraId="70B13104" w14:textId="77777777" w:rsidR="00EE198F" w:rsidRDefault="00EE198F" w:rsidP="009D7B6D">
            <w:pPr>
              <w:pStyle w:val="Akapitzlist"/>
              <w:numPr>
                <w:ilvl w:val="0"/>
                <w:numId w:val="9"/>
              </w:numPr>
              <w:jc w:val="center"/>
            </w:pPr>
          </w:p>
        </w:tc>
        <w:tc>
          <w:tcPr>
            <w:tcW w:w="2264" w:type="dxa"/>
          </w:tcPr>
          <w:p w14:paraId="58B248D5" w14:textId="77777777" w:rsidR="00EE198F" w:rsidRDefault="008317C4" w:rsidP="00971FA8">
            <w:r w:rsidRPr="008317C4">
              <w:rPr>
                <w:bCs/>
              </w:rPr>
              <w:t>Unia Metropolii Polskich</w:t>
            </w:r>
          </w:p>
        </w:tc>
        <w:tc>
          <w:tcPr>
            <w:tcW w:w="2686" w:type="dxa"/>
          </w:tcPr>
          <w:p w14:paraId="4AA10040" w14:textId="77777777" w:rsidR="00EE198F" w:rsidRDefault="008317C4" w:rsidP="00971FA8">
            <w:r w:rsidRPr="008317C4">
              <w:rPr>
                <w:bCs/>
              </w:rPr>
              <w:t>Spis treści, str. 1</w:t>
            </w:r>
          </w:p>
        </w:tc>
        <w:tc>
          <w:tcPr>
            <w:tcW w:w="4737" w:type="dxa"/>
          </w:tcPr>
          <w:p w14:paraId="1D936E2B" w14:textId="77777777" w:rsidR="00EE198F" w:rsidRDefault="008317C4" w:rsidP="00971FA8">
            <w:pPr>
              <w:spacing w:before="72"/>
              <w:ind w:right="504"/>
              <w:rPr>
                <w:rFonts w:cstheme="minorHAnsi"/>
                <w:i/>
                <w:color w:val="000000"/>
              </w:rPr>
            </w:pPr>
            <w:r w:rsidRPr="008317C4">
              <w:rPr>
                <w:rFonts w:cstheme="minorHAnsi"/>
                <w:i/>
                <w:color w:val="000000"/>
              </w:rPr>
              <w:t>Brak w spisie rozdziału poświęconego specyficznym potrzebom osób w podeszłym wieku.</w:t>
            </w:r>
          </w:p>
          <w:p w14:paraId="3BF63612" w14:textId="77777777" w:rsidR="008317C4" w:rsidRPr="008317C4" w:rsidRDefault="008317C4" w:rsidP="00971FA8">
            <w:pPr>
              <w:spacing w:before="72"/>
              <w:ind w:right="504"/>
              <w:rPr>
                <w:rFonts w:cstheme="minorHAnsi"/>
                <w:color w:val="000000"/>
              </w:rPr>
            </w:pPr>
            <w:r w:rsidRPr="008317C4">
              <w:rPr>
                <w:rFonts w:cstheme="minorHAnsi"/>
                <w:color w:val="000000"/>
              </w:rPr>
              <w:t xml:space="preserve">Uzasadnienie: </w:t>
            </w:r>
            <w:r w:rsidRPr="008317C4">
              <w:rPr>
                <w:rFonts w:cstheme="minorHAnsi"/>
                <w:bCs/>
                <w:color w:val="000000"/>
              </w:rPr>
              <w:t xml:space="preserve">Spis treści zarysowuje podział na różne typy osób korzystających ze świata cyfrowego. Na tej liście nie są wymienione osoby w podeszłym wieku. Nie można ich zaliczać wprost do osób z niepełnosprawnością, bo należą oni raczej do grupy osób o szczególnych potrzebach i jako tacy powinni być rozważani na równi z </w:t>
            </w:r>
            <w:r w:rsidRPr="008317C4">
              <w:rPr>
                <w:rFonts w:cstheme="minorHAnsi"/>
                <w:bCs/>
                <w:color w:val="000000"/>
              </w:rPr>
              <w:lastRenderedPageBreak/>
              <w:t>dziećmi, studentami, czy specjalistami ICT. Obserwowany na całym świecie trend starzenia się społeczeństw w krajach uprzemysłowionych ma już i będzie mieć zapewne coraz większy wpływ na gospodarkę. Seniorzy mogą się stawać coraz ważniejszym segmentem rynku konsumentów. Dynamiczny rozwój sztucznej inteligencji może doprowadzić do zrekompensowania braków pracowników w wieku produkcyjnym w niektórych gałęziach przemysłu, być może jednak w ludziach o największym życiowym doświadczeniu drzemie potencjał, który szkoda zmarnować. To, że ktoś jest w wieku poprodukcyjnym nie znaczy, że nie może produktywnie (z pożytkiem dla wszystkich) spędzić reszty swojego życia.</w:t>
            </w:r>
          </w:p>
        </w:tc>
        <w:tc>
          <w:tcPr>
            <w:tcW w:w="3638" w:type="dxa"/>
          </w:tcPr>
          <w:p w14:paraId="6F853132" w14:textId="39C3B093" w:rsidR="001C6A71" w:rsidRDefault="001904EF" w:rsidP="00971FA8">
            <w:pPr>
              <w:rPr>
                <w:rFonts w:ascii="Calibri" w:eastAsia="Calibri" w:hAnsi="Calibri" w:cs="Calibri"/>
                <w:bCs/>
              </w:rPr>
            </w:pPr>
            <w:r w:rsidRPr="00194614">
              <w:rPr>
                <w:b/>
                <w:bCs/>
              </w:rPr>
              <w:lastRenderedPageBreak/>
              <w:t>Uwaga nie</w:t>
            </w:r>
            <w:r w:rsidR="006E771F" w:rsidRPr="00194614">
              <w:rPr>
                <w:b/>
                <w:bCs/>
              </w:rPr>
              <w:t>uwzględnion</w:t>
            </w:r>
            <w:r w:rsidRPr="00194614">
              <w:rPr>
                <w:b/>
                <w:bCs/>
              </w:rPr>
              <w:t>a</w:t>
            </w:r>
            <w:r w:rsidR="006E771F">
              <w:rPr>
                <w:bCs/>
              </w:rPr>
              <w:t xml:space="preserve">. </w:t>
            </w:r>
            <w:r w:rsidR="008317C4" w:rsidRPr="008317C4">
              <w:rPr>
                <w:bCs/>
              </w:rPr>
              <w:t>Przyjęto podział na grupy docelowe, do których kierujemy działania PRKC</w:t>
            </w:r>
            <w:r w:rsidR="001C6A71">
              <w:rPr>
                <w:bCs/>
              </w:rPr>
              <w:t>, jednak s</w:t>
            </w:r>
            <w:r w:rsidR="001C6A71">
              <w:rPr>
                <w:rFonts w:ascii="Calibri" w:eastAsia="Calibri" w:hAnsi="Calibri" w:cs="Calibri"/>
                <w:bCs/>
              </w:rPr>
              <w:t xml:space="preserve">eniorzy nie stanowią jednorodnej grupy. </w:t>
            </w:r>
          </w:p>
          <w:p w14:paraId="63BD3124" w14:textId="77777777" w:rsidR="00EE198F" w:rsidRDefault="001C6A71" w:rsidP="00971FA8">
            <w:r>
              <w:rPr>
                <w:rFonts w:ascii="Calibri" w:eastAsia="Calibri" w:hAnsi="Calibri" w:cs="Calibri"/>
                <w:bCs/>
              </w:rPr>
              <w:t>Seniorzy, którzy są wykluczeni cyfrowo lub mają niskie kompetencje cyfrowe wchodzą w skład grupy</w:t>
            </w:r>
            <w:r w:rsidRPr="007B72BD">
              <w:rPr>
                <w:rFonts w:ascii="Calibri" w:eastAsia="Calibri" w:hAnsi="Calibri" w:cs="Calibri"/>
                <w:bCs/>
              </w:rPr>
              <w:t xml:space="preserve"> „Osoby stawiające pierwsze kroki w świecie cyfrowym”</w:t>
            </w:r>
            <w:r>
              <w:rPr>
                <w:rFonts w:ascii="Calibri" w:eastAsia="Calibri" w:hAnsi="Calibri" w:cs="Calibri"/>
                <w:bCs/>
              </w:rPr>
              <w:t xml:space="preserve">(aby podkreślić obecność seniorów w tej grupie </w:t>
            </w:r>
            <w:r>
              <w:rPr>
                <w:rFonts w:ascii="Calibri" w:eastAsia="Calibri" w:hAnsi="Calibri" w:cs="Calibri"/>
                <w:bCs/>
              </w:rPr>
              <w:lastRenderedPageBreak/>
              <w:t>zmieniono nazwę grupy na „O</w:t>
            </w:r>
            <w:r w:rsidRPr="00900223">
              <w:rPr>
                <w:rFonts w:ascii="Calibri" w:eastAsia="Calibri" w:hAnsi="Calibri" w:cs="Calibri"/>
                <w:bCs/>
              </w:rPr>
              <w:t>soby stawiające pierwsze kroki w świecie cyfrowym</w:t>
            </w:r>
            <w:r>
              <w:rPr>
                <w:rFonts w:ascii="Calibri" w:eastAsia="Calibri" w:hAnsi="Calibri" w:cs="Calibri"/>
                <w:bCs/>
              </w:rPr>
              <w:t>, w tym seniorzy”. Wśród 7 działań przyporządkowanych dla tej grupy 6 jest dedykowanych przede wszystkim seniorom)</w:t>
            </w:r>
            <w:r w:rsidRPr="007B72BD">
              <w:rPr>
                <w:rFonts w:ascii="Calibri" w:eastAsia="Calibri" w:hAnsi="Calibri" w:cs="Calibri"/>
                <w:bCs/>
              </w:rPr>
              <w:t xml:space="preserve">, natomiast pozostali zaliczają się do </w:t>
            </w:r>
            <w:r>
              <w:rPr>
                <w:rFonts w:ascii="Calibri" w:eastAsia="Calibri" w:hAnsi="Calibri" w:cs="Calibri"/>
                <w:bCs/>
              </w:rPr>
              <w:t xml:space="preserve">kategorii </w:t>
            </w:r>
            <w:r w:rsidRPr="007B72BD">
              <w:rPr>
                <w:rFonts w:ascii="Calibri" w:eastAsia="Calibri" w:hAnsi="Calibri" w:cs="Calibri"/>
                <w:bCs/>
              </w:rPr>
              <w:t>„Użytkowników technologii cyfrowych</w:t>
            </w:r>
            <w:r>
              <w:rPr>
                <w:rFonts w:ascii="Calibri" w:eastAsia="Calibri" w:hAnsi="Calibri" w:cs="Calibri"/>
                <w:bCs/>
              </w:rPr>
              <w:t>”</w:t>
            </w:r>
            <w:r w:rsidR="008317C4" w:rsidRPr="008317C4">
              <w:rPr>
                <w:bCs/>
              </w:rPr>
              <w:t>. Planujemy w działalności Klubów Rozwoju Cyfrowego zwrócić szczególną uwagę na potrzeby tej grupy.</w:t>
            </w:r>
          </w:p>
        </w:tc>
      </w:tr>
      <w:tr w:rsidR="008317C4" w14:paraId="6C356AEE" w14:textId="77777777" w:rsidTr="009D7B6D">
        <w:tc>
          <w:tcPr>
            <w:tcW w:w="704" w:type="dxa"/>
            <w:vAlign w:val="center"/>
          </w:tcPr>
          <w:p w14:paraId="048F302F" w14:textId="77777777" w:rsidR="008317C4" w:rsidRDefault="008317C4" w:rsidP="009D7B6D">
            <w:pPr>
              <w:pStyle w:val="Akapitzlist"/>
              <w:numPr>
                <w:ilvl w:val="0"/>
                <w:numId w:val="9"/>
              </w:numPr>
              <w:jc w:val="center"/>
            </w:pPr>
          </w:p>
        </w:tc>
        <w:tc>
          <w:tcPr>
            <w:tcW w:w="2264" w:type="dxa"/>
          </w:tcPr>
          <w:p w14:paraId="0438209F" w14:textId="77777777" w:rsidR="008317C4" w:rsidRPr="008317C4" w:rsidRDefault="008317C4" w:rsidP="00971FA8">
            <w:pPr>
              <w:rPr>
                <w:bCs/>
              </w:rPr>
            </w:pPr>
            <w:r w:rsidRPr="00EE198F">
              <w:rPr>
                <w:bCs/>
              </w:rPr>
              <w:t>Unia Metropolii Polskich</w:t>
            </w:r>
          </w:p>
        </w:tc>
        <w:tc>
          <w:tcPr>
            <w:tcW w:w="2686" w:type="dxa"/>
          </w:tcPr>
          <w:p w14:paraId="784817F1" w14:textId="77777777" w:rsidR="008317C4" w:rsidRDefault="008A59D5" w:rsidP="00971FA8">
            <w:r>
              <w:t>Str. 24</w:t>
            </w:r>
          </w:p>
        </w:tc>
        <w:tc>
          <w:tcPr>
            <w:tcW w:w="4737" w:type="dxa"/>
          </w:tcPr>
          <w:p w14:paraId="00CB5F3C" w14:textId="77777777" w:rsidR="008317C4" w:rsidRDefault="008A59D5" w:rsidP="00971FA8">
            <w:pPr>
              <w:spacing w:before="72"/>
              <w:ind w:right="504"/>
              <w:rPr>
                <w:rFonts w:cstheme="minorHAnsi"/>
                <w:i/>
                <w:color w:val="000000"/>
              </w:rPr>
            </w:pPr>
            <w:r w:rsidRPr="008A59D5">
              <w:rPr>
                <w:rFonts w:cstheme="minorHAnsi"/>
                <w:i/>
                <w:color w:val="000000"/>
              </w:rPr>
              <w:t>Brak poruszonego zagadnienia naturalnej różnicy w adaptacji do najnowszych trendów technologicznych między rodzicami, a ich dziećmi.</w:t>
            </w:r>
          </w:p>
          <w:p w14:paraId="151135ED" w14:textId="77777777" w:rsidR="008A59D5" w:rsidRPr="008A59D5" w:rsidRDefault="008A59D5" w:rsidP="00971FA8">
            <w:pPr>
              <w:spacing w:before="72"/>
              <w:ind w:right="504"/>
              <w:rPr>
                <w:rFonts w:cstheme="minorHAnsi"/>
                <w:color w:val="000000"/>
              </w:rPr>
            </w:pPr>
            <w:r w:rsidRPr="008A59D5">
              <w:rPr>
                <w:rFonts w:cstheme="minorHAnsi"/>
                <w:color w:val="000000"/>
              </w:rPr>
              <w:t xml:space="preserve">Uzasadnienie: Zważywszy na wciąż galopujący postęp technologicznych w zakresie usług i produktów cyfrowych nieunikniony wydaje się rozdźwięk między wiedzą jaką w tym obszarze posiadają dzieci, a tą, którą rodzice wynieśli z czasów swojej edukacji. Niejednokrotnie można zobaczyć dzieci, które tabletem posługują się z niezwykłą biegłością oraz rodziców z mniejszą biegłością korzystających z komórek. Słusznym wydaje się postulat </w:t>
            </w:r>
            <w:r w:rsidRPr="008A59D5">
              <w:rPr>
                <w:rFonts w:cstheme="minorHAnsi"/>
                <w:color w:val="000000"/>
              </w:rPr>
              <w:lastRenderedPageBreak/>
              <w:t>rozwijania kompetencji cyfrowych rodziców. Z drugiej strony, czy taka różnica poziomów wiedzy nie jest czymś co trzeba umieć także zaakceptować/z czym rodzice powinni uczyć się godzić? Poznawczo dorosły człowiek odbiega znacznie od dziecka chłonącego wszelkie nowinki jak gąbka.</w:t>
            </w:r>
          </w:p>
        </w:tc>
        <w:tc>
          <w:tcPr>
            <w:tcW w:w="3638" w:type="dxa"/>
          </w:tcPr>
          <w:p w14:paraId="504E7042" w14:textId="738EC64C" w:rsidR="008317C4" w:rsidRDefault="001904EF" w:rsidP="00971FA8">
            <w:r w:rsidRPr="00194614">
              <w:rPr>
                <w:b/>
                <w:bCs/>
              </w:rPr>
              <w:lastRenderedPageBreak/>
              <w:t>Uwaga nie</w:t>
            </w:r>
            <w:r w:rsidR="006E771F" w:rsidRPr="00194614">
              <w:rPr>
                <w:b/>
                <w:bCs/>
              </w:rPr>
              <w:t>uwzględnion</w:t>
            </w:r>
            <w:r w:rsidRPr="00194614">
              <w:rPr>
                <w:b/>
                <w:bCs/>
              </w:rPr>
              <w:t>a</w:t>
            </w:r>
            <w:r w:rsidR="006E771F">
              <w:rPr>
                <w:bCs/>
              </w:rPr>
              <w:t xml:space="preserve">. </w:t>
            </w:r>
            <w:r w:rsidR="008A59D5" w:rsidRPr="008A59D5">
              <w:rPr>
                <w:bCs/>
              </w:rPr>
              <w:t xml:space="preserve"> Zdajemy sobie sprawę, że ze względu n</w:t>
            </w:r>
            <w:r w:rsidR="00712DA3">
              <w:rPr>
                <w:bCs/>
              </w:rPr>
              <w:t xml:space="preserve">a charakter PRKC dokument może </w:t>
            </w:r>
            <w:r w:rsidR="008A59D5" w:rsidRPr="008A59D5">
              <w:rPr>
                <w:bCs/>
              </w:rPr>
              <w:t>nie wyczerpywać  wszystkich zagadnień. Musimy dbać o balans związany z obszernością dokumentu, przejrzystością i  wymaganiami stawianymi w ustawie o  zasadach prowadzenia polityki rozwoju. Dołożyliśmy też wszelkich starań, aby diagnoza opierała się na dostępnych jak najbardziej wiarygodnych badaniach i danych w tym zakresie.</w:t>
            </w:r>
          </w:p>
        </w:tc>
      </w:tr>
      <w:tr w:rsidR="008317C4" w14:paraId="5B65E7E0" w14:textId="77777777" w:rsidTr="009D7B6D">
        <w:tc>
          <w:tcPr>
            <w:tcW w:w="704" w:type="dxa"/>
            <w:vAlign w:val="center"/>
          </w:tcPr>
          <w:p w14:paraId="337A8070" w14:textId="77777777" w:rsidR="008317C4" w:rsidRDefault="008317C4" w:rsidP="009D7B6D">
            <w:pPr>
              <w:pStyle w:val="Akapitzlist"/>
              <w:numPr>
                <w:ilvl w:val="0"/>
                <w:numId w:val="9"/>
              </w:numPr>
              <w:jc w:val="center"/>
            </w:pPr>
          </w:p>
        </w:tc>
        <w:tc>
          <w:tcPr>
            <w:tcW w:w="2264" w:type="dxa"/>
          </w:tcPr>
          <w:p w14:paraId="7D9E10FD" w14:textId="77777777" w:rsidR="008317C4" w:rsidRPr="008317C4" w:rsidRDefault="008317C4" w:rsidP="00971FA8">
            <w:pPr>
              <w:rPr>
                <w:bCs/>
              </w:rPr>
            </w:pPr>
            <w:r w:rsidRPr="00EE198F">
              <w:rPr>
                <w:bCs/>
              </w:rPr>
              <w:t>Unia Metropolii Polskich</w:t>
            </w:r>
          </w:p>
        </w:tc>
        <w:tc>
          <w:tcPr>
            <w:tcW w:w="2686" w:type="dxa"/>
          </w:tcPr>
          <w:p w14:paraId="33FEC4FA" w14:textId="77777777" w:rsidR="008317C4" w:rsidRDefault="004D7659" w:rsidP="00971FA8">
            <w:r>
              <w:t>Str. 45</w:t>
            </w:r>
          </w:p>
        </w:tc>
        <w:tc>
          <w:tcPr>
            <w:tcW w:w="4737" w:type="dxa"/>
          </w:tcPr>
          <w:p w14:paraId="4FD78974" w14:textId="77777777" w:rsidR="008317C4" w:rsidRDefault="004D7659" w:rsidP="00971FA8">
            <w:pPr>
              <w:spacing w:before="72"/>
              <w:ind w:right="504"/>
              <w:rPr>
                <w:rFonts w:cstheme="minorHAnsi"/>
                <w:i/>
                <w:color w:val="000000"/>
              </w:rPr>
            </w:pPr>
            <w:r w:rsidRPr="004D7659">
              <w:rPr>
                <w:rFonts w:cstheme="minorHAnsi"/>
                <w:i/>
                <w:color w:val="000000"/>
              </w:rPr>
              <w:t>Punkt 6.4 nie mówi o żadnej inicjatywie.</w:t>
            </w:r>
          </w:p>
          <w:p w14:paraId="1AC110CB"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Otwarte dane (także dla Warszawy) są istotnym aspektem zmiany cyfrowej rzeczywistości na całym świecie. Zawierają potencjał na nowe usług, pozwalają budować ciekawe analizy z zakresu </w:t>
            </w:r>
            <w:proofErr w:type="spellStart"/>
            <w:r w:rsidRPr="004D7659">
              <w:rPr>
                <w:rFonts w:cstheme="minorHAnsi"/>
                <w:color w:val="000000"/>
              </w:rPr>
              <w:t>BigData</w:t>
            </w:r>
            <w:proofErr w:type="spellEnd"/>
            <w:r w:rsidRPr="004D7659">
              <w:rPr>
                <w:rFonts w:cstheme="minorHAnsi"/>
                <w:color w:val="000000"/>
              </w:rPr>
              <w:t xml:space="preserve">, uczyć Sztuczną Inteligencję pożądanych </w:t>
            </w:r>
            <w:proofErr w:type="spellStart"/>
            <w:r w:rsidRPr="004D7659">
              <w:rPr>
                <w:rFonts w:cstheme="minorHAnsi"/>
                <w:color w:val="000000"/>
              </w:rPr>
              <w:t>zachowań</w:t>
            </w:r>
            <w:proofErr w:type="spellEnd"/>
            <w:r w:rsidRPr="004D7659">
              <w:rPr>
                <w:rFonts w:cstheme="minorHAnsi"/>
                <w:color w:val="000000"/>
              </w:rPr>
              <w:t>. Powinny być więc w programie wymienione, ale nie w tym miejscu. Albo jeśli w tym miejscu to ze wskazaniem konkretnych inicjatyw (np. portal https://dane.gov.pl/pl)</w:t>
            </w:r>
          </w:p>
        </w:tc>
        <w:tc>
          <w:tcPr>
            <w:tcW w:w="3638" w:type="dxa"/>
          </w:tcPr>
          <w:p w14:paraId="7BADF390" w14:textId="37470E14" w:rsidR="008317C4" w:rsidRDefault="001904EF" w:rsidP="00971FA8">
            <w:r w:rsidRPr="00194614">
              <w:rPr>
                <w:b/>
                <w:bCs/>
              </w:rPr>
              <w:t>Uwaga nie</w:t>
            </w:r>
            <w:r w:rsidR="00545148" w:rsidRPr="00194614">
              <w:rPr>
                <w:b/>
                <w:bCs/>
              </w:rPr>
              <w:t>uwzględnion</w:t>
            </w:r>
            <w:r w:rsidRPr="00194614">
              <w:rPr>
                <w:b/>
                <w:bCs/>
              </w:rPr>
              <w:t>a</w:t>
            </w:r>
            <w:r w:rsidR="00545148" w:rsidRPr="00194614">
              <w:rPr>
                <w:b/>
                <w:bCs/>
              </w:rPr>
              <w:t>.</w:t>
            </w:r>
            <w:r w:rsidR="00545148">
              <w:rPr>
                <w:bCs/>
              </w:rPr>
              <w:t xml:space="preserve"> </w:t>
            </w:r>
            <w:r w:rsidR="004D7659" w:rsidRPr="004D7659">
              <w:rPr>
                <w:bCs/>
              </w:rPr>
              <w:t>Rozdział dotyczy „osiągnięć Polski w obszarze kompetencji cyfrowych”.</w:t>
            </w:r>
          </w:p>
        </w:tc>
      </w:tr>
      <w:tr w:rsidR="008317C4" w14:paraId="727A755F" w14:textId="77777777" w:rsidTr="009D7B6D">
        <w:tc>
          <w:tcPr>
            <w:tcW w:w="704" w:type="dxa"/>
            <w:vAlign w:val="center"/>
          </w:tcPr>
          <w:p w14:paraId="6F7D7349" w14:textId="77777777" w:rsidR="008317C4" w:rsidRDefault="008317C4" w:rsidP="009D7B6D">
            <w:pPr>
              <w:pStyle w:val="Akapitzlist"/>
              <w:numPr>
                <w:ilvl w:val="0"/>
                <w:numId w:val="9"/>
              </w:numPr>
              <w:jc w:val="center"/>
            </w:pPr>
          </w:p>
        </w:tc>
        <w:tc>
          <w:tcPr>
            <w:tcW w:w="2264" w:type="dxa"/>
          </w:tcPr>
          <w:p w14:paraId="3ABC9B79" w14:textId="77777777" w:rsidR="008317C4" w:rsidRPr="00EE198F" w:rsidRDefault="008317C4" w:rsidP="00971FA8">
            <w:pPr>
              <w:rPr>
                <w:bCs/>
              </w:rPr>
            </w:pPr>
            <w:r w:rsidRPr="00EE198F">
              <w:rPr>
                <w:bCs/>
              </w:rPr>
              <w:t>Unia Metropolii Polskich</w:t>
            </w:r>
          </w:p>
        </w:tc>
        <w:tc>
          <w:tcPr>
            <w:tcW w:w="2686" w:type="dxa"/>
          </w:tcPr>
          <w:p w14:paraId="70A556C8" w14:textId="77777777" w:rsidR="008317C4" w:rsidRDefault="004D7659" w:rsidP="00971FA8">
            <w:r>
              <w:t>Str. 54</w:t>
            </w:r>
          </w:p>
        </w:tc>
        <w:tc>
          <w:tcPr>
            <w:tcW w:w="4737" w:type="dxa"/>
          </w:tcPr>
          <w:p w14:paraId="11FF3118" w14:textId="77777777" w:rsidR="008317C4" w:rsidRDefault="004D7659" w:rsidP="00971FA8">
            <w:pPr>
              <w:spacing w:before="72"/>
              <w:ind w:right="504"/>
              <w:rPr>
                <w:rFonts w:cstheme="minorHAnsi"/>
                <w:i/>
                <w:color w:val="000000"/>
              </w:rPr>
            </w:pPr>
            <w:r w:rsidRPr="004D7659">
              <w:rPr>
                <w:rFonts w:cstheme="minorHAnsi"/>
                <w:i/>
                <w:color w:val="000000"/>
              </w:rPr>
              <w:t>W tabeli 5 i dalej w dokumencie konsekwentnie pominięci są seniorzy, nie są również wymienione wprost inne osoby o szczególnych potrzebach.</w:t>
            </w:r>
          </w:p>
          <w:p w14:paraId="060B11B5" w14:textId="77777777" w:rsidR="004D7659" w:rsidRPr="004D7659" w:rsidRDefault="004D7659" w:rsidP="00971FA8">
            <w:pPr>
              <w:spacing w:before="72"/>
              <w:ind w:right="504"/>
              <w:rPr>
                <w:rFonts w:cstheme="minorHAnsi"/>
                <w:color w:val="000000"/>
              </w:rPr>
            </w:pPr>
            <w:r w:rsidRPr="004D7659">
              <w:rPr>
                <w:rFonts w:cstheme="minorHAnsi"/>
                <w:color w:val="000000"/>
              </w:rPr>
              <w:t>Uzasadnienie: W ramach przeciwdziałania wykluczeniu postulujemy wprowadzenie brakujących grup docelowych i objęcie ich programem. Chyba, że zakładane jest, że tego typu osoby mogą występować w każdej z wymienionych grup – wtedy należy o tym wspomnieć w dokumencie.</w:t>
            </w:r>
          </w:p>
        </w:tc>
        <w:tc>
          <w:tcPr>
            <w:tcW w:w="3638" w:type="dxa"/>
          </w:tcPr>
          <w:p w14:paraId="2A19063C" w14:textId="77777777" w:rsidR="001904EF" w:rsidRPr="00194614" w:rsidRDefault="001904EF" w:rsidP="00971FA8">
            <w:pPr>
              <w:rPr>
                <w:b/>
                <w:bCs/>
              </w:rPr>
            </w:pPr>
            <w:r w:rsidRPr="00194614">
              <w:rPr>
                <w:b/>
                <w:bCs/>
              </w:rPr>
              <w:t>Uwaga nieuwzględniona</w:t>
            </w:r>
            <w:r w:rsidR="00545148" w:rsidRPr="00194614">
              <w:rPr>
                <w:b/>
                <w:bCs/>
              </w:rPr>
              <w:t>.</w:t>
            </w:r>
          </w:p>
          <w:p w14:paraId="71B2F1C4" w14:textId="5AD00322" w:rsidR="001C6A71" w:rsidRPr="004D7659" w:rsidRDefault="004D7659" w:rsidP="00971FA8">
            <w:pPr>
              <w:rPr>
                <w:bCs/>
              </w:rPr>
            </w:pPr>
            <w:r w:rsidRPr="004D7659">
              <w:rPr>
                <w:bCs/>
              </w:rPr>
              <w:t xml:space="preserve">Przyjęliśmy podział na inne grupy, do których kierujemy działania PRKC. </w:t>
            </w:r>
            <w:r w:rsidR="001C6A71" w:rsidRPr="004D7659">
              <w:rPr>
                <w:bCs/>
              </w:rPr>
              <w:t xml:space="preserve">Osoby starsze, jeśli korzystają z </w:t>
            </w:r>
            <w:proofErr w:type="spellStart"/>
            <w:r w:rsidR="001C6A71" w:rsidRPr="004D7659">
              <w:rPr>
                <w:bCs/>
              </w:rPr>
              <w:t>internetu</w:t>
            </w:r>
            <w:proofErr w:type="spellEnd"/>
            <w:r w:rsidR="001C6A71" w:rsidRPr="004D7659">
              <w:rPr>
                <w:bCs/>
              </w:rPr>
              <w:t xml:space="preserve"> i posiadają podstawowe kompetencje cyfrowe, są zaliczane do „użytkowników technologii cyfrowych”, w przeciwnym wypadku, znajdują się w grupie „osoby stawiające pierwsze kroki w świecie cyfrowym”, której nazwę rozszerzyliśmy  - „osoby stawiające pierwsze kroki w świecie cyfrowym, w tym seniorzy”, aby uwzględnić fakt, że </w:t>
            </w:r>
            <w:r w:rsidR="001C6A71" w:rsidRPr="004D7659">
              <w:rPr>
                <w:bCs/>
              </w:rPr>
              <w:lastRenderedPageBreak/>
              <w:t>stanowią oni co najmniej 3/4 tej grupy. Planujemy w działalności Klubów Rozwoju Cyfrowego zwrócić szczególną uwagę na potrzeby tej grupy.</w:t>
            </w:r>
          </w:p>
          <w:p w14:paraId="78F1E210" w14:textId="77777777" w:rsidR="008317C4" w:rsidRDefault="001C6A71" w:rsidP="00971FA8">
            <w:r w:rsidRPr="004D7659">
              <w:rPr>
                <w:bCs/>
              </w:rPr>
              <w:t>Szczególnie dla seniorów i osób ze szczególnymi potrzebami dedykowane są działania II.1.1, II.1.5, II.2.1, II.2.6, II.2.7.</w:t>
            </w:r>
          </w:p>
        </w:tc>
      </w:tr>
      <w:tr w:rsidR="008317C4" w14:paraId="524701B7" w14:textId="77777777" w:rsidTr="009D7B6D">
        <w:tc>
          <w:tcPr>
            <w:tcW w:w="704" w:type="dxa"/>
            <w:vAlign w:val="center"/>
          </w:tcPr>
          <w:p w14:paraId="5EF5BD90" w14:textId="77777777" w:rsidR="008317C4" w:rsidRDefault="008317C4" w:rsidP="009D7B6D">
            <w:pPr>
              <w:pStyle w:val="Akapitzlist"/>
              <w:numPr>
                <w:ilvl w:val="0"/>
                <w:numId w:val="9"/>
              </w:numPr>
              <w:jc w:val="center"/>
            </w:pPr>
          </w:p>
        </w:tc>
        <w:tc>
          <w:tcPr>
            <w:tcW w:w="2264" w:type="dxa"/>
          </w:tcPr>
          <w:p w14:paraId="1476277D" w14:textId="77777777" w:rsidR="008317C4" w:rsidRPr="00EE198F" w:rsidRDefault="008317C4" w:rsidP="00971FA8">
            <w:pPr>
              <w:rPr>
                <w:bCs/>
              </w:rPr>
            </w:pPr>
            <w:r w:rsidRPr="00EE198F">
              <w:rPr>
                <w:bCs/>
              </w:rPr>
              <w:t>Unia Metropolii Polskich</w:t>
            </w:r>
          </w:p>
        </w:tc>
        <w:tc>
          <w:tcPr>
            <w:tcW w:w="2686" w:type="dxa"/>
          </w:tcPr>
          <w:p w14:paraId="13D5A8A6" w14:textId="77777777" w:rsidR="008317C4" w:rsidRDefault="004D7659" w:rsidP="00971FA8">
            <w:r>
              <w:t>Str. 56</w:t>
            </w:r>
          </w:p>
        </w:tc>
        <w:tc>
          <w:tcPr>
            <w:tcW w:w="4737" w:type="dxa"/>
          </w:tcPr>
          <w:p w14:paraId="06B3B1AA" w14:textId="77777777" w:rsidR="008317C4" w:rsidRDefault="004D7659" w:rsidP="00971FA8">
            <w:pPr>
              <w:spacing w:before="72"/>
              <w:ind w:right="504"/>
              <w:rPr>
                <w:rFonts w:cstheme="minorHAnsi"/>
                <w:i/>
                <w:color w:val="000000"/>
              </w:rPr>
            </w:pPr>
            <w:r w:rsidRPr="004D7659">
              <w:rPr>
                <w:rFonts w:cstheme="minorHAnsi"/>
                <w:i/>
                <w:color w:val="000000"/>
              </w:rPr>
              <w:t>Przesunięcie „doposażania placówek w niezbędny sprzęt” na początek opisu działania I.1.1</w:t>
            </w:r>
            <w:r>
              <w:rPr>
                <w:rFonts w:cstheme="minorHAnsi"/>
                <w:i/>
                <w:color w:val="000000"/>
              </w:rPr>
              <w:t>.</w:t>
            </w:r>
          </w:p>
          <w:p w14:paraId="36B37391"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Odpowiednie doposażenie placówek ma znaczenie kluczowe. Na etapie przedszkolnym i wczesnoszkolnym powinien to być sprzęt do nauki przez zabawę. Opracowanie najlepszych materiałów i programów bez odpowiedniego sprzętu mija się z celem. Wydaje się, że dla dzieci potrzebujących rozwojowo więcej ruchu nie może to być sprzęt stacjonarny, czy choćby laptop, tylko urządzenia mobilne. Ogromną szansą dla innowacyjnej gospodarki mogłoby być nie tyle nawet wspieranie placówek stacjonarnym sprzętem, co zachęcanie podmiotów do kreowania ciekawych instalacji interaktywnych, podczas eksploracji których dzieci mogłyby uczyć się bawiąc (patrz PAKT). Ciekawym trendem w edukacji jest też ruch </w:t>
            </w:r>
            <w:proofErr w:type="spellStart"/>
            <w:r w:rsidRPr="004D7659">
              <w:rPr>
                <w:rFonts w:cstheme="minorHAnsi"/>
                <w:i/>
                <w:iCs/>
                <w:color w:val="000000"/>
              </w:rPr>
              <w:t>citizen</w:t>
            </w:r>
            <w:proofErr w:type="spellEnd"/>
            <w:r w:rsidRPr="004D7659">
              <w:rPr>
                <w:rFonts w:cstheme="minorHAnsi"/>
                <w:i/>
                <w:iCs/>
                <w:color w:val="000000"/>
              </w:rPr>
              <w:t xml:space="preserve"> science,</w:t>
            </w:r>
            <w:r w:rsidRPr="004D7659">
              <w:rPr>
                <w:rFonts w:cstheme="minorHAnsi"/>
                <w:color w:val="000000"/>
              </w:rPr>
              <w:t xml:space="preserve"> w ramach którego dzieci i młodzież w ramach realizowanych w placówkach programów i </w:t>
            </w:r>
            <w:r w:rsidRPr="004D7659">
              <w:rPr>
                <w:rFonts w:cstheme="minorHAnsi"/>
                <w:color w:val="000000"/>
              </w:rPr>
              <w:lastRenderedPageBreak/>
              <w:t>inicjatyw dostarcza wiarygodnych danych opisujących rzeczywistość i otoczenie.</w:t>
            </w:r>
          </w:p>
        </w:tc>
        <w:tc>
          <w:tcPr>
            <w:tcW w:w="3638" w:type="dxa"/>
          </w:tcPr>
          <w:p w14:paraId="595A9408" w14:textId="77777777" w:rsidR="001904EF" w:rsidRPr="00194614" w:rsidRDefault="001904EF" w:rsidP="00971FA8">
            <w:pPr>
              <w:rPr>
                <w:b/>
                <w:bCs/>
              </w:rPr>
            </w:pPr>
            <w:r w:rsidRPr="00194614">
              <w:rPr>
                <w:b/>
                <w:bCs/>
              </w:rPr>
              <w:lastRenderedPageBreak/>
              <w:t>Uwaga nie</w:t>
            </w:r>
            <w:r w:rsidR="00545148" w:rsidRPr="00194614">
              <w:rPr>
                <w:b/>
                <w:bCs/>
              </w:rPr>
              <w:t>uwzględnion</w:t>
            </w:r>
            <w:r w:rsidRPr="00194614">
              <w:rPr>
                <w:b/>
                <w:bCs/>
              </w:rPr>
              <w:t>a.</w:t>
            </w:r>
          </w:p>
          <w:p w14:paraId="1D654CFB" w14:textId="7FBEE4C0" w:rsidR="008317C4" w:rsidRDefault="004D7659" w:rsidP="00971FA8">
            <w:r w:rsidRPr="004D7659">
              <w:rPr>
                <w:bCs/>
              </w:rPr>
              <w:t>Doposażenie jest bardzo ważne, i traktujemy go jako jeden z filarów rozwoju kompetencji cyfrowych. Wyjaśniamy to również we wstępie Programu oraz to że sam program nie agreguje projektów finansowania infrastruktury, które to będą ujęte w innych szerszych dokumentach strategicznych dotyczących cyfryzacji edukacji.  Z punktu widzenia PRKC najważniejsze są projekty, których celem jest budowanie kompetencji, zwłaszcza, że na tym etapie cyfryzacji nie startujemy od zera – wiele placówek posiada już sprzęt ICT. Dodatkowo w ramach KPO i perspektywy finansowej 2021-2027 planowane są dalsze inwestycje związane z doposażeniem w sprzęt.</w:t>
            </w:r>
          </w:p>
        </w:tc>
      </w:tr>
      <w:tr w:rsidR="008317C4" w14:paraId="000D6FE7" w14:textId="77777777" w:rsidTr="009D7B6D">
        <w:tc>
          <w:tcPr>
            <w:tcW w:w="704" w:type="dxa"/>
            <w:vAlign w:val="center"/>
          </w:tcPr>
          <w:p w14:paraId="09199CBB" w14:textId="77777777" w:rsidR="008317C4" w:rsidRDefault="008317C4" w:rsidP="009D7B6D">
            <w:pPr>
              <w:pStyle w:val="Akapitzlist"/>
              <w:numPr>
                <w:ilvl w:val="0"/>
                <w:numId w:val="9"/>
              </w:numPr>
              <w:jc w:val="center"/>
            </w:pPr>
          </w:p>
        </w:tc>
        <w:tc>
          <w:tcPr>
            <w:tcW w:w="2264" w:type="dxa"/>
          </w:tcPr>
          <w:p w14:paraId="369E5DD8" w14:textId="77777777" w:rsidR="008317C4" w:rsidRPr="00EE198F" w:rsidRDefault="008317C4" w:rsidP="00971FA8">
            <w:pPr>
              <w:rPr>
                <w:bCs/>
              </w:rPr>
            </w:pPr>
            <w:r w:rsidRPr="00EE198F">
              <w:rPr>
                <w:bCs/>
              </w:rPr>
              <w:t>Unia Metropolii Polskich</w:t>
            </w:r>
          </w:p>
        </w:tc>
        <w:tc>
          <w:tcPr>
            <w:tcW w:w="2686" w:type="dxa"/>
          </w:tcPr>
          <w:p w14:paraId="7482EBE0" w14:textId="77777777" w:rsidR="008317C4" w:rsidRDefault="004D7659" w:rsidP="00971FA8">
            <w:r w:rsidRPr="004D7659">
              <w:rPr>
                <w:lang w:val="en-US"/>
              </w:rPr>
              <w:t>Str. 58, I.2.</w:t>
            </w:r>
          </w:p>
        </w:tc>
        <w:tc>
          <w:tcPr>
            <w:tcW w:w="4737" w:type="dxa"/>
          </w:tcPr>
          <w:p w14:paraId="5D9FEA5B" w14:textId="77777777" w:rsidR="008317C4" w:rsidRDefault="004D7659" w:rsidP="00971FA8">
            <w:pPr>
              <w:spacing w:before="72"/>
              <w:ind w:right="504"/>
              <w:rPr>
                <w:rFonts w:cstheme="minorHAnsi"/>
                <w:i/>
                <w:color w:val="000000"/>
              </w:rPr>
            </w:pPr>
            <w:r w:rsidRPr="004D7659">
              <w:rPr>
                <w:rFonts w:cstheme="minorHAnsi"/>
                <w:i/>
                <w:color w:val="000000"/>
              </w:rPr>
              <w:t>Opis I.2 ignoruje zupełnie aspekt inspirowania młodych ludzi do poszukiwania innowacji na własną rękę.</w:t>
            </w:r>
          </w:p>
          <w:p w14:paraId="5AEE9A2C"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Uczniowie traktowani są w opisie przedmiotowo jako osoby, którym trzeba przekazać jakąś wiedzę opracowaną w ramach „podstawy programowej” przez „odpowiednio przygotowanych nauczycieli”. Pomijana jest rodząca się w szkole podstawowej w młodych ludziach potrzeba sprawczości, chęć eksperymentowania i eksplorowania. Programy w rodzaju „Programu Rozwoju Talentów Informatycznych” skierowanie są zwykle do wąskiego grona dzieci o zdolnościach typowo technicznych. We współczesnych metodykach wytwórczych rola odpowiednio wykształconego i otwartego na technologie personelu nietechnicznego (np. właściciele biznesowi, analitycy biznesowi) jest nie mniej ważna niż programistów, architektów i </w:t>
            </w:r>
            <w:proofErr w:type="spellStart"/>
            <w:r w:rsidRPr="004D7659">
              <w:rPr>
                <w:rFonts w:cstheme="minorHAnsi"/>
                <w:color w:val="000000"/>
              </w:rPr>
              <w:t>project</w:t>
            </w:r>
            <w:proofErr w:type="spellEnd"/>
            <w:r w:rsidRPr="004D7659">
              <w:rPr>
                <w:rFonts w:cstheme="minorHAnsi"/>
                <w:color w:val="000000"/>
              </w:rPr>
              <w:t xml:space="preserve"> managerów.</w:t>
            </w:r>
          </w:p>
        </w:tc>
        <w:tc>
          <w:tcPr>
            <w:tcW w:w="3638" w:type="dxa"/>
          </w:tcPr>
          <w:p w14:paraId="0E9D6028" w14:textId="2F981227" w:rsidR="004D7659" w:rsidRPr="004D7659" w:rsidRDefault="001904EF" w:rsidP="00971FA8">
            <w:r w:rsidRPr="00194614">
              <w:rPr>
                <w:b/>
              </w:rPr>
              <w:t>Uwaga nieuwzględniona</w:t>
            </w:r>
            <w:r w:rsidR="00545148" w:rsidRPr="00194614">
              <w:rPr>
                <w:b/>
              </w:rPr>
              <w:t>.</w:t>
            </w:r>
            <w:r w:rsidR="00545148">
              <w:t xml:space="preserve"> </w:t>
            </w:r>
            <w:r w:rsidR="004D7659" w:rsidRPr="004D7659">
              <w:t xml:space="preserve">Odpowiedź na potrzebę sprawczości, chęć eksperymentowania i eksplorowania w szkole polskiej jest szerszym zagadnieniem i nie dotyczy tylko kompetencji cyfrowych. CRKC jest świadome tych problemów, jednak PRKC nie jest dokumentem właściwym do ich rozwiązania. </w:t>
            </w:r>
          </w:p>
          <w:p w14:paraId="467E8DA9" w14:textId="77777777" w:rsidR="008317C4" w:rsidRDefault="008317C4" w:rsidP="00971FA8"/>
        </w:tc>
      </w:tr>
      <w:tr w:rsidR="008317C4" w14:paraId="40D83470" w14:textId="77777777" w:rsidTr="009D7B6D">
        <w:tc>
          <w:tcPr>
            <w:tcW w:w="704" w:type="dxa"/>
            <w:vAlign w:val="center"/>
          </w:tcPr>
          <w:p w14:paraId="1E8AACCA" w14:textId="77777777" w:rsidR="008317C4" w:rsidRDefault="008317C4" w:rsidP="009D7B6D">
            <w:pPr>
              <w:pStyle w:val="Akapitzlist"/>
              <w:numPr>
                <w:ilvl w:val="0"/>
                <w:numId w:val="9"/>
              </w:numPr>
              <w:jc w:val="center"/>
            </w:pPr>
          </w:p>
        </w:tc>
        <w:tc>
          <w:tcPr>
            <w:tcW w:w="2264" w:type="dxa"/>
          </w:tcPr>
          <w:p w14:paraId="491379E1" w14:textId="77777777" w:rsidR="008317C4" w:rsidRPr="00EE198F" w:rsidRDefault="008317C4" w:rsidP="00971FA8">
            <w:pPr>
              <w:rPr>
                <w:bCs/>
              </w:rPr>
            </w:pPr>
            <w:r w:rsidRPr="00EE198F">
              <w:rPr>
                <w:bCs/>
              </w:rPr>
              <w:t>Unia Metropolii Polskich</w:t>
            </w:r>
          </w:p>
        </w:tc>
        <w:tc>
          <w:tcPr>
            <w:tcW w:w="2686" w:type="dxa"/>
          </w:tcPr>
          <w:p w14:paraId="0B379292" w14:textId="77777777" w:rsidR="008317C4" w:rsidRDefault="004D7659" w:rsidP="00971FA8">
            <w:r>
              <w:t>Str. 61</w:t>
            </w:r>
          </w:p>
        </w:tc>
        <w:tc>
          <w:tcPr>
            <w:tcW w:w="4737" w:type="dxa"/>
          </w:tcPr>
          <w:p w14:paraId="6DFE98BE" w14:textId="77777777" w:rsidR="008317C4" w:rsidRDefault="004D7659" w:rsidP="00971FA8">
            <w:pPr>
              <w:spacing w:before="72"/>
              <w:ind w:right="504"/>
              <w:rPr>
                <w:rFonts w:cstheme="minorHAnsi"/>
                <w:i/>
                <w:color w:val="000000"/>
              </w:rPr>
            </w:pPr>
            <w:r w:rsidRPr="004D7659">
              <w:rPr>
                <w:rFonts w:cstheme="minorHAnsi"/>
                <w:i/>
                <w:color w:val="000000"/>
              </w:rPr>
              <w:t>Brak w dokumencie podkreślenia, jak istotną rolę w informatyce pełnią rozwiązania open-</w:t>
            </w:r>
            <w:proofErr w:type="spellStart"/>
            <w:r w:rsidRPr="004D7659">
              <w:rPr>
                <w:rFonts w:cstheme="minorHAnsi"/>
                <w:i/>
                <w:color w:val="000000"/>
              </w:rPr>
              <w:t>source</w:t>
            </w:r>
            <w:proofErr w:type="spellEnd"/>
            <w:r w:rsidRPr="004D7659">
              <w:rPr>
                <w:rFonts w:cstheme="minorHAnsi"/>
                <w:i/>
                <w:color w:val="000000"/>
              </w:rPr>
              <w:t>.</w:t>
            </w:r>
          </w:p>
          <w:p w14:paraId="5B36A995" w14:textId="77777777" w:rsidR="004D7659" w:rsidRPr="004D7659" w:rsidRDefault="004D7659" w:rsidP="00971FA8">
            <w:pPr>
              <w:spacing w:before="72"/>
              <w:ind w:right="504"/>
              <w:rPr>
                <w:rFonts w:cstheme="minorHAnsi"/>
                <w:color w:val="000000"/>
              </w:rPr>
            </w:pPr>
            <w:r w:rsidRPr="004D7659">
              <w:rPr>
                <w:rFonts w:cstheme="minorHAnsi"/>
                <w:color w:val="000000"/>
              </w:rPr>
              <w:t xml:space="preserve">Uzasadnienie: Open Source (obok wspomnianego w dokumencie Open Data) jest bodajże jednym z najważniejszych trendów współczesnej informatyki. Nie powinien być on przedstawiany jako </w:t>
            </w:r>
            <w:r w:rsidRPr="004D7659">
              <w:rPr>
                <w:rFonts w:cstheme="minorHAnsi"/>
                <w:color w:val="000000"/>
              </w:rPr>
              <w:lastRenderedPageBreak/>
              <w:t xml:space="preserve">zastępstwo płatnych rozwiązań, ale jako kosztowo optymalna alternatywa lub baza dla nowych projektów z zakresu ICT. W ramach wszystkich działań cyfrowych, zwłaszcza wśród pracowników rządowych wszystkich szczebli i pracowników JST potrzebna jest świadomość budowania rozwiązań z myślą o </w:t>
            </w:r>
            <w:proofErr w:type="spellStart"/>
            <w:r w:rsidRPr="004D7659">
              <w:rPr>
                <w:rFonts w:cstheme="minorHAnsi"/>
                <w:color w:val="000000"/>
              </w:rPr>
              <w:t>reużywalności</w:t>
            </w:r>
            <w:proofErr w:type="spellEnd"/>
            <w:r w:rsidRPr="004D7659">
              <w:rPr>
                <w:rFonts w:cstheme="minorHAnsi"/>
                <w:color w:val="000000"/>
              </w:rPr>
              <w:t xml:space="preserve"> i chęć korzystania z rozwiązań zbudowanych przez innych. Do tego celu celowym wydaje się stworzenie i rozpropagowanie centralnego rejestru narzędzi informatycznych, do których prawa korzystania nie są ograniczone przez komercyjne licencje. Dzięki skutecznej wyszukiwarce dowolna jednostka lub nawet mały podmiot gospodarczy mógłby znaleźć odpowiadające mu nie wiążące się z koniecznością ponoszenia wysokich kosztów sprawdzone narzędzie informatyczne (Warszawa np. dla realizacji swoich procesów partycypacyjnych adaptuje stworzone przez hiszpańską administrację narzędzie </w:t>
            </w:r>
            <w:proofErr w:type="spellStart"/>
            <w:r w:rsidRPr="004D7659">
              <w:rPr>
                <w:rFonts w:cstheme="minorHAnsi"/>
                <w:color w:val="000000"/>
              </w:rPr>
              <w:t>Decidim</w:t>
            </w:r>
            <w:proofErr w:type="spellEnd"/>
            <w:r w:rsidRPr="004D7659">
              <w:rPr>
                <w:rFonts w:cstheme="minorHAnsi"/>
                <w:color w:val="000000"/>
              </w:rPr>
              <w:t xml:space="preserve">). Wykorzystanie rozwiązań typu open </w:t>
            </w:r>
            <w:proofErr w:type="spellStart"/>
            <w:r w:rsidRPr="004D7659">
              <w:rPr>
                <w:rFonts w:cstheme="minorHAnsi"/>
                <w:color w:val="000000"/>
              </w:rPr>
              <w:t>source</w:t>
            </w:r>
            <w:proofErr w:type="spellEnd"/>
            <w:r w:rsidRPr="004D7659">
              <w:rPr>
                <w:rFonts w:cstheme="minorHAnsi"/>
                <w:color w:val="000000"/>
              </w:rPr>
              <w:t xml:space="preserve"> deklarowane jest w </w:t>
            </w:r>
            <w:r w:rsidRPr="004D7659">
              <w:rPr>
                <w:rFonts w:cstheme="minorHAnsi"/>
                <w:i/>
                <w:iCs/>
                <w:color w:val="000000"/>
                <w:u w:val="single"/>
              </w:rPr>
              <w:t>Polityce cyfrowej transformacji m.st. Warszawy, Zarządzenie nr 1494/2020 Prezydenta m.st. Warszawy).</w:t>
            </w:r>
          </w:p>
        </w:tc>
        <w:tc>
          <w:tcPr>
            <w:tcW w:w="3638" w:type="dxa"/>
          </w:tcPr>
          <w:p w14:paraId="5B149D02" w14:textId="2D11D259" w:rsidR="008317C4" w:rsidRDefault="001904EF" w:rsidP="00971FA8">
            <w:r w:rsidRPr="00194614">
              <w:rPr>
                <w:b/>
              </w:rPr>
              <w:lastRenderedPageBreak/>
              <w:t>Uwaga nie</w:t>
            </w:r>
            <w:r w:rsidR="00545148" w:rsidRPr="00194614">
              <w:rPr>
                <w:b/>
              </w:rPr>
              <w:t>uwzględnion</w:t>
            </w:r>
            <w:r w:rsidRPr="00194614">
              <w:rPr>
                <w:b/>
              </w:rPr>
              <w:t>a</w:t>
            </w:r>
            <w:r w:rsidR="00545148" w:rsidRPr="00194614">
              <w:rPr>
                <w:b/>
              </w:rPr>
              <w:t>.</w:t>
            </w:r>
            <w:r w:rsidR="00545148">
              <w:t xml:space="preserve"> </w:t>
            </w:r>
            <w:r w:rsidR="004D7659" w:rsidRPr="004D7659">
              <w:t>Rozwiązania open-</w:t>
            </w:r>
            <w:proofErr w:type="spellStart"/>
            <w:r w:rsidR="004D7659" w:rsidRPr="004D7659">
              <w:t>source</w:t>
            </w:r>
            <w:proofErr w:type="spellEnd"/>
            <w:r w:rsidR="004D7659" w:rsidRPr="004D7659">
              <w:t xml:space="preserve"> są ważne z punktu widzenia rozwoju cyfryzacji jednak uwaga nie jest adresowana do tematu programu dotyczącego kompetencji cyfrowych.</w:t>
            </w:r>
          </w:p>
        </w:tc>
      </w:tr>
      <w:tr w:rsidR="0057563D" w14:paraId="2A8D2DB6" w14:textId="77777777" w:rsidTr="009D7B6D">
        <w:tc>
          <w:tcPr>
            <w:tcW w:w="704" w:type="dxa"/>
            <w:vAlign w:val="center"/>
          </w:tcPr>
          <w:p w14:paraId="09A29001" w14:textId="77777777" w:rsidR="0057563D" w:rsidRDefault="0057563D" w:rsidP="009D7B6D">
            <w:pPr>
              <w:pStyle w:val="Akapitzlist"/>
              <w:numPr>
                <w:ilvl w:val="0"/>
                <w:numId w:val="9"/>
              </w:numPr>
              <w:jc w:val="center"/>
            </w:pPr>
          </w:p>
        </w:tc>
        <w:tc>
          <w:tcPr>
            <w:tcW w:w="2264" w:type="dxa"/>
          </w:tcPr>
          <w:p w14:paraId="3C7B208C" w14:textId="77777777" w:rsidR="0057563D" w:rsidRPr="0057563D" w:rsidRDefault="0057563D" w:rsidP="00971FA8">
            <w:pPr>
              <w:rPr>
                <w:bCs/>
              </w:rPr>
            </w:pPr>
            <w:r w:rsidRPr="0057563D">
              <w:rPr>
                <w:bCs/>
              </w:rPr>
              <w:t>Związek Powiatów Polskich</w:t>
            </w:r>
          </w:p>
        </w:tc>
        <w:tc>
          <w:tcPr>
            <w:tcW w:w="2686" w:type="dxa"/>
          </w:tcPr>
          <w:p w14:paraId="5A9C7ED0" w14:textId="77777777" w:rsidR="0057563D" w:rsidRDefault="00777B1A" w:rsidP="00971FA8">
            <w:r w:rsidRPr="00777B1A">
              <w:t>Działanie III.1.3. e-Kompetencje w obszarze cyberbezpieczeństwa  s. 79</w:t>
            </w:r>
          </w:p>
        </w:tc>
        <w:tc>
          <w:tcPr>
            <w:tcW w:w="4737" w:type="dxa"/>
          </w:tcPr>
          <w:p w14:paraId="40B9D73E" w14:textId="77777777" w:rsidR="00777B1A" w:rsidRPr="00777B1A" w:rsidRDefault="00777B1A" w:rsidP="00971FA8">
            <w:pPr>
              <w:spacing w:before="72"/>
              <w:ind w:right="504"/>
              <w:rPr>
                <w:rFonts w:cstheme="minorHAnsi"/>
                <w:color w:val="000000"/>
              </w:rPr>
            </w:pPr>
            <w:r w:rsidRPr="00777B1A">
              <w:rPr>
                <w:rFonts w:cstheme="minorHAnsi"/>
                <w:color w:val="000000"/>
              </w:rPr>
              <w:t xml:space="preserve">W celu działania </w:t>
            </w:r>
          </w:p>
          <w:p w14:paraId="34832BA8" w14:textId="77777777" w:rsidR="00777B1A" w:rsidRPr="00777B1A" w:rsidRDefault="00777B1A" w:rsidP="00971FA8">
            <w:pPr>
              <w:spacing w:before="72"/>
              <w:ind w:right="504"/>
              <w:rPr>
                <w:rFonts w:cstheme="minorHAnsi"/>
                <w:color w:val="000000"/>
              </w:rPr>
            </w:pPr>
            <w:r w:rsidRPr="00777B1A">
              <w:rPr>
                <w:rFonts w:cstheme="minorHAnsi"/>
                <w:color w:val="000000"/>
              </w:rPr>
              <w:t xml:space="preserve">- uzupełnić o NGO, </w:t>
            </w:r>
          </w:p>
          <w:p w14:paraId="272EA679" w14:textId="77777777" w:rsidR="0057563D" w:rsidRDefault="00777B1A" w:rsidP="00971FA8">
            <w:pPr>
              <w:spacing w:before="72"/>
              <w:ind w:right="504"/>
              <w:rPr>
                <w:rFonts w:cstheme="minorHAnsi"/>
                <w:color w:val="000000"/>
              </w:rPr>
            </w:pPr>
            <w:r w:rsidRPr="00777B1A">
              <w:rPr>
                <w:rFonts w:cstheme="minorHAnsi"/>
                <w:color w:val="000000"/>
              </w:rPr>
              <w:t>- zmienić słowo na „osoby zatrudnione”</w:t>
            </w:r>
            <w:r>
              <w:rPr>
                <w:rFonts w:cstheme="minorHAnsi"/>
                <w:color w:val="000000"/>
              </w:rPr>
              <w:t>.</w:t>
            </w:r>
          </w:p>
          <w:p w14:paraId="43B52CA6" w14:textId="77777777" w:rsidR="00777B1A" w:rsidRPr="00777B1A" w:rsidRDefault="00777B1A" w:rsidP="00971FA8">
            <w:pPr>
              <w:spacing w:before="72"/>
              <w:ind w:right="504"/>
              <w:rPr>
                <w:rFonts w:cstheme="minorHAnsi"/>
                <w:color w:val="000000"/>
              </w:rPr>
            </w:pPr>
            <w:r>
              <w:rPr>
                <w:rFonts w:cstheme="minorHAnsi"/>
                <w:color w:val="000000"/>
              </w:rPr>
              <w:t xml:space="preserve">Uzasadnienie: </w:t>
            </w:r>
            <w:r w:rsidRPr="00777B1A">
              <w:rPr>
                <w:rFonts w:cstheme="minorHAnsi"/>
                <w:color w:val="000000"/>
              </w:rPr>
              <w:t xml:space="preserve">NGO realizują szereg zadań na rzecz sektora publicznego. W przypadku </w:t>
            </w:r>
            <w:r w:rsidRPr="00777B1A">
              <w:rPr>
                <w:rFonts w:cstheme="minorHAnsi"/>
                <w:color w:val="000000"/>
              </w:rPr>
              <w:lastRenderedPageBreak/>
              <w:t xml:space="preserve">NGO nie prowadzących działalności gospodarczej, zostaną one wyłączone z Działania. </w:t>
            </w:r>
          </w:p>
          <w:p w14:paraId="187EBB17" w14:textId="77777777" w:rsidR="00777B1A" w:rsidRPr="00C7370A" w:rsidRDefault="00777B1A" w:rsidP="00971FA8">
            <w:pPr>
              <w:spacing w:before="72"/>
              <w:ind w:right="504"/>
              <w:rPr>
                <w:rFonts w:cstheme="minorHAnsi"/>
                <w:color w:val="000000"/>
              </w:rPr>
            </w:pPr>
            <w:r w:rsidRPr="00777B1A">
              <w:rPr>
                <w:rFonts w:cstheme="minorHAnsi"/>
                <w:color w:val="000000"/>
              </w:rPr>
              <w:t>Działaniami edukacyjnymi powinny zostać objęte również inne osoby niż pracownicy (np. osoby samozatrudnione, właściciele przedsiębiorstw, osoby zatrudnione na podstawie umów cywilnoprawnych, w przypadku NGO osoby pracujące na rzecz tych organizacji społecznie lub na podstawie umowy o wolontariat itp.)</w:t>
            </w:r>
          </w:p>
        </w:tc>
        <w:tc>
          <w:tcPr>
            <w:tcW w:w="3638" w:type="dxa"/>
          </w:tcPr>
          <w:p w14:paraId="72620602" w14:textId="77777777" w:rsidR="00EC3FD7" w:rsidRPr="00194614" w:rsidRDefault="00EC3FD7" w:rsidP="00971FA8">
            <w:pPr>
              <w:rPr>
                <w:b/>
              </w:rPr>
            </w:pPr>
            <w:r w:rsidRPr="00194614">
              <w:rPr>
                <w:b/>
              </w:rPr>
              <w:lastRenderedPageBreak/>
              <w:t>Uwaga nie</w:t>
            </w:r>
            <w:r w:rsidR="00AA637B" w:rsidRPr="00194614">
              <w:rPr>
                <w:b/>
              </w:rPr>
              <w:t>uwzględnion</w:t>
            </w:r>
            <w:r w:rsidRPr="00194614">
              <w:rPr>
                <w:b/>
              </w:rPr>
              <w:t>a</w:t>
            </w:r>
            <w:r w:rsidR="00AA637B" w:rsidRPr="00194614">
              <w:rPr>
                <w:b/>
              </w:rPr>
              <w:t xml:space="preserve">. </w:t>
            </w:r>
          </w:p>
          <w:p w14:paraId="50DC3294" w14:textId="4A2E6EEB" w:rsidR="0057563D" w:rsidRDefault="00777B1A" w:rsidP="00971FA8">
            <w:r w:rsidRPr="00777B1A">
              <w:t xml:space="preserve">Ze względu na zaawansowany stan prac nad programem Fundusze Europejskie na Rozwój Cyfrowy </w:t>
            </w:r>
            <w:r w:rsidR="00AA637B">
              <w:t xml:space="preserve">2021-2027 nie jest możliwe uwzględnienie zgłoszonej uwagi. </w:t>
            </w:r>
          </w:p>
        </w:tc>
      </w:tr>
    </w:tbl>
    <w:p w14:paraId="127880CF" w14:textId="77777777" w:rsidR="00517F51" w:rsidRDefault="00517F51"/>
    <w:sectPr w:rsidR="00517F51" w:rsidSect="00E05F93">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155D4"/>
    <w:multiLevelType w:val="hybridMultilevel"/>
    <w:tmpl w:val="F7D404A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01BFDDF"/>
    <w:multiLevelType w:val="hybridMultilevel"/>
    <w:tmpl w:val="93CEBC54"/>
    <w:lvl w:ilvl="0" w:tplc="547EF136">
      <w:start w:val="1"/>
      <w:numFmt w:val="bullet"/>
      <w:lvlText w:val="-"/>
      <w:lvlJc w:val="left"/>
      <w:pPr>
        <w:ind w:left="720" w:hanging="360"/>
      </w:pPr>
      <w:rPr>
        <w:rFonts w:ascii="Calibri" w:hAnsi="Calibri" w:cs="Times New Roman" w:hint="default"/>
      </w:rPr>
    </w:lvl>
    <w:lvl w:ilvl="1" w:tplc="640A4180">
      <w:start w:val="1"/>
      <w:numFmt w:val="bullet"/>
      <w:lvlText w:val="o"/>
      <w:lvlJc w:val="left"/>
      <w:pPr>
        <w:ind w:left="1440" w:hanging="360"/>
      </w:pPr>
      <w:rPr>
        <w:rFonts w:ascii="Courier New" w:hAnsi="Courier New" w:cs="Times New Roman" w:hint="default"/>
      </w:rPr>
    </w:lvl>
    <w:lvl w:ilvl="2" w:tplc="21564F72">
      <w:start w:val="1"/>
      <w:numFmt w:val="bullet"/>
      <w:lvlText w:val=""/>
      <w:lvlJc w:val="left"/>
      <w:pPr>
        <w:ind w:left="2160" w:hanging="360"/>
      </w:pPr>
      <w:rPr>
        <w:rFonts w:ascii="Wingdings" w:hAnsi="Wingdings" w:hint="default"/>
      </w:rPr>
    </w:lvl>
    <w:lvl w:ilvl="3" w:tplc="4830AEAA">
      <w:start w:val="1"/>
      <w:numFmt w:val="bullet"/>
      <w:lvlText w:val=""/>
      <w:lvlJc w:val="left"/>
      <w:pPr>
        <w:ind w:left="2880" w:hanging="360"/>
      </w:pPr>
      <w:rPr>
        <w:rFonts w:ascii="Symbol" w:hAnsi="Symbol" w:hint="default"/>
      </w:rPr>
    </w:lvl>
    <w:lvl w:ilvl="4" w:tplc="3E385ABC">
      <w:start w:val="1"/>
      <w:numFmt w:val="bullet"/>
      <w:lvlText w:val="o"/>
      <w:lvlJc w:val="left"/>
      <w:pPr>
        <w:ind w:left="3600" w:hanging="360"/>
      </w:pPr>
      <w:rPr>
        <w:rFonts w:ascii="Courier New" w:hAnsi="Courier New" w:cs="Times New Roman" w:hint="default"/>
      </w:rPr>
    </w:lvl>
    <w:lvl w:ilvl="5" w:tplc="3496BA00">
      <w:start w:val="1"/>
      <w:numFmt w:val="bullet"/>
      <w:lvlText w:val=""/>
      <w:lvlJc w:val="left"/>
      <w:pPr>
        <w:ind w:left="4320" w:hanging="360"/>
      </w:pPr>
      <w:rPr>
        <w:rFonts w:ascii="Wingdings" w:hAnsi="Wingdings" w:hint="default"/>
      </w:rPr>
    </w:lvl>
    <w:lvl w:ilvl="6" w:tplc="3EACC616">
      <w:start w:val="1"/>
      <w:numFmt w:val="bullet"/>
      <w:lvlText w:val=""/>
      <w:lvlJc w:val="left"/>
      <w:pPr>
        <w:ind w:left="5040" w:hanging="360"/>
      </w:pPr>
      <w:rPr>
        <w:rFonts w:ascii="Symbol" w:hAnsi="Symbol" w:hint="default"/>
      </w:rPr>
    </w:lvl>
    <w:lvl w:ilvl="7" w:tplc="D2EEA0B2">
      <w:start w:val="1"/>
      <w:numFmt w:val="bullet"/>
      <w:lvlText w:val="o"/>
      <w:lvlJc w:val="left"/>
      <w:pPr>
        <w:ind w:left="5760" w:hanging="360"/>
      </w:pPr>
      <w:rPr>
        <w:rFonts w:ascii="Courier New" w:hAnsi="Courier New" w:cs="Times New Roman" w:hint="default"/>
      </w:rPr>
    </w:lvl>
    <w:lvl w:ilvl="8" w:tplc="3D58DD4E">
      <w:start w:val="1"/>
      <w:numFmt w:val="bullet"/>
      <w:lvlText w:val=""/>
      <w:lvlJc w:val="left"/>
      <w:pPr>
        <w:ind w:left="6480" w:hanging="360"/>
      </w:pPr>
      <w:rPr>
        <w:rFonts w:ascii="Wingdings" w:hAnsi="Wingdings" w:hint="default"/>
      </w:rPr>
    </w:lvl>
  </w:abstractNum>
  <w:abstractNum w:abstractNumId="2" w15:restartNumberingAfterBreak="0">
    <w:nsid w:val="1646427A"/>
    <w:multiLevelType w:val="multilevel"/>
    <w:tmpl w:val="F6DA8E24"/>
    <w:lvl w:ilvl="0">
      <w:start w:val="1"/>
      <w:numFmt w:val="decimal"/>
      <w:lvlText w:val="I.4.%1."/>
      <w:lvlJc w:val="left"/>
      <w:pPr>
        <w:ind w:left="0" w:firstLine="207"/>
      </w:pPr>
      <w:rPr>
        <w:rFonts w:hint="default"/>
        <w:u w:color="D9E2F3" w:themeColor="accent5" w:themeTint="33"/>
      </w:rPr>
    </w:lvl>
    <w:lvl w:ilvl="1">
      <w:start w:val="1"/>
      <w:numFmt w:val="lowerLetter"/>
      <w:lvlText w:val="%2)"/>
      <w:lvlJc w:val="left"/>
      <w:pPr>
        <w:ind w:left="360" w:hanging="360"/>
      </w:pPr>
      <w:rPr>
        <w:rFonts w:hint="default"/>
      </w:rPr>
    </w:lvl>
    <w:lvl w:ilvl="2">
      <w:start w:val="1"/>
      <w:numFmt w:val="lowerRoman"/>
      <w:lvlText w:val="%3)"/>
      <w:lvlJc w:val="left"/>
      <w:pPr>
        <w:ind w:left="720" w:hanging="360"/>
      </w:pPr>
      <w:rPr>
        <w:rFonts w:hint="default"/>
      </w:rPr>
    </w:lvl>
    <w:lvl w:ilvl="3">
      <w:start w:val="1"/>
      <w:numFmt w:val="decimal"/>
      <w:lvlText w:val="(%4)"/>
      <w:lvlJc w:val="left"/>
      <w:pPr>
        <w:ind w:left="1080" w:hanging="360"/>
      </w:pPr>
      <w:rPr>
        <w:rFonts w:hint="default"/>
      </w:rPr>
    </w:lvl>
    <w:lvl w:ilvl="4">
      <w:start w:val="1"/>
      <w:numFmt w:val="lowerLetter"/>
      <w:lvlText w:val="(%5)"/>
      <w:lvlJc w:val="left"/>
      <w:pPr>
        <w:ind w:left="1440" w:hanging="360"/>
      </w:pPr>
      <w:rPr>
        <w:rFonts w:hint="default"/>
      </w:rPr>
    </w:lvl>
    <w:lvl w:ilvl="5">
      <w:start w:val="1"/>
      <w:numFmt w:val="lowerRoman"/>
      <w:lvlText w:val="(%6)"/>
      <w:lvlJc w:val="left"/>
      <w:pPr>
        <w:ind w:left="1800" w:hanging="360"/>
      </w:pPr>
      <w:rPr>
        <w:rFonts w:hint="default"/>
      </w:rPr>
    </w:lvl>
    <w:lvl w:ilvl="6">
      <w:start w:val="1"/>
      <w:numFmt w:val="decimal"/>
      <w:lvlText w:val="%7."/>
      <w:lvlJc w:val="left"/>
      <w:pPr>
        <w:ind w:left="2160" w:hanging="360"/>
      </w:pPr>
      <w:rPr>
        <w:rFonts w:hint="default"/>
      </w:rPr>
    </w:lvl>
    <w:lvl w:ilvl="7">
      <w:start w:val="1"/>
      <w:numFmt w:val="lowerLetter"/>
      <w:lvlText w:val="%8."/>
      <w:lvlJc w:val="left"/>
      <w:pPr>
        <w:ind w:left="2520" w:hanging="360"/>
      </w:pPr>
      <w:rPr>
        <w:rFonts w:hint="default"/>
      </w:rPr>
    </w:lvl>
    <w:lvl w:ilvl="8">
      <w:start w:val="1"/>
      <w:numFmt w:val="lowerRoman"/>
      <w:lvlText w:val="%9."/>
      <w:lvlJc w:val="left"/>
      <w:pPr>
        <w:ind w:left="2880" w:hanging="360"/>
      </w:pPr>
      <w:rPr>
        <w:rFonts w:hint="default"/>
      </w:rPr>
    </w:lvl>
  </w:abstractNum>
  <w:abstractNum w:abstractNumId="3" w15:restartNumberingAfterBreak="0">
    <w:nsid w:val="2597592E"/>
    <w:multiLevelType w:val="hybridMultilevel"/>
    <w:tmpl w:val="E566055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 w15:restartNumberingAfterBreak="0">
    <w:nsid w:val="3DC55F62"/>
    <w:multiLevelType w:val="hybridMultilevel"/>
    <w:tmpl w:val="8FA641FC"/>
    <w:lvl w:ilvl="0" w:tplc="A7B084C0">
      <w:start w:val="1"/>
      <w:numFmt w:val="bullet"/>
      <w:lvlText w:val="•"/>
      <w:lvlJc w:val="left"/>
      <w:pPr>
        <w:ind w:left="360" w:hanging="360"/>
      </w:pPr>
      <w:rPr>
        <w:rFonts w:ascii="Times New Roman" w:hAnsi="Times New Roman" w:hint="default"/>
      </w:rPr>
    </w:lvl>
    <w:lvl w:ilvl="1" w:tplc="128E235E">
      <w:start w:val="1"/>
      <w:numFmt w:val="bullet"/>
      <w:lvlText w:val=""/>
      <w:lvlJc w:val="left"/>
      <w:pPr>
        <w:ind w:left="1080" w:hanging="360"/>
      </w:pPr>
      <w:rPr>
        <w:rFonts w:ascii="Symbol" w:hAnsi="Symbol"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44F36B17"/>
    <w:multiLevelType w:val="hybridMultilevel"/>
    <w:tmpl w:val="6234C6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F4A2959"/>
    <w:multiLevelType w:val="hybridMultilevel"/>
    <w:tmpl w:val="E566055E"/>
    <w:lvl w:ilvl="0" w:tplc="0415000F">
      <w:start w:val="1"/>
      <w:numFmt w:val="decimal"/>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7122769B"/>
    <w:multiLevelType w:val="hybridMultilevel"/>
    <w:tmpl w:val="EAB81656"/>
    <w:lvl w:ilvl="0" w:tplc="A7B084C0">
      <w:start w:val="1"/>
      <w:numFmt w:val="bullet"/>
      <w:lvlText w:val="•"/>
      <w:lvlJc w:val="left"/>
      <w:pPr>
        <w:ind w:left="360" w:hanging="360"/>
      </w:pPr>
      <w:rPr>
        <w:rFonts w:ascii="Times New Roman" w:hAnsi="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75B02A49"/>
    <w:multiLevelType w:val="hybridMultilevel"/>
    <w:tmpl w:val="D068BF14"/>
    <w:lvl w:ilvl="0" w:tplc="0415000F">
      <w:start w:val="1"/>
      <w:numFmt w:val="decimal"/>
      <w:lvlText w:val="%1."/>
      <w:lvlJc w:val="left"/>
      <w:pPr>
        <w:ind w:left="92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5"/>
  </w:num>
  <w:num w:numId="3">
    <w:abstractNumId w:val="7"/>
  </w:num>
  <w:num w:numId="4">
    <w:abstractNumId w:val="6"/>
  </w:num>
  <w:num w:numId="5">
    <w:abstractNumId w:val="2"/>
  </w:num>
  <w:num w:numId="6">
    <w:abstractNumId w:val="3"/>
  </w:num>
  <w:num w:numId="7">
    <w:abstractNumId w:val="4"/>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094"/>
    <w:rsid w:val="000159BB"/>
    <w:rsid w:val="000351B9"/>
    <w:rsid w:val="00056C03"/>
    <w:rsid w:val="00077DF9"/>
    <w:rsid w:val="000907F2"/>
    <w:rsid w:val="000C4183"/>
    <w:rsid w:val="000D1E8B"/>
    <w:rsid w:val="000D2313"/>
    <w:rsid w:val="000D79B3"/>
    <w:rsid w:val="000E60E4"/>
    <w:rsid w:val="000F2E63"/>
    <w:rsid w:val="00107B21"/>
    <w:rsid w:val="001139EC"/>
    <w:rsid w:val="001148E6"/>
    <w:rsid w:val="00132DAF"/>
    <w:rsid w:val="0014054D"/>
    <w:rsid w:val="00142192"/>
    <w:rsid w:val="001904EF"/>
    <w:rsid w:val="00194614"/>
    <w:rsid w:val="001B2554"/>
    <w:rsid w:val="001C6A71"/>
    <w:rsid w:val="001D0419"/>
    <w:rsid w:val="001D439D"/>
    <w:rsid w:val="001D4A0F"/>
    <w:rsid w:val="001E7EC9"/>
    <w:rsid w:val="00217CBF"/>
    <w:rsid w:val="002D57C1"/>
    <w:rsid w:val="00304140"/>
    <w:rsid w:val="00310E73"/>
    <w:rsid w:val="003147E7"/>
    <w:rsid w:val="003237AD"/>
    <w:rsid w:val="00334F8C"/>
    <w:rsid w:val="0034532A"/>
    <w:rsid w:val="00350644"/>
    <w:rsid w:val="00362534"/>
    <w:rsid w:val="00374E85"/>
    <w:rsid w:val="00400E25"/>
    <w:rsid w:val="00457570"/>
    <w:rsid w:val="00474912"/>
    <w:rsid w:val="004A38D1"/>
    <w:rsid w:val="004C2023"/>
    <w:rsid w:val="004C7E33"/>
    <w:rsid w:val="004D7659"/>
    <w:rsid w:val="005062AE"/>
    <w:rsid w:val="00513D12"/>
    <w:rsid w:val="00517F51"/>
    <w:rsid w:val="00527DAD"/>
    <w:rsid w:val="00530E00"/>
    <w:rsid w:val="00541901"/>
    <w:rsid w:val="00545148"/>
    <w:rsid w:val="00547AC2"/>
    <w:rsid w:val="005677D8"/>
    <w:rsid w:val="0057563D"/>
    <w:rsid w:val="00577E23"/>
    <w:rsid w:val="005834FB"/>
    <w:rsid w:val="006069B0"/>
    <w:rsid w:val="00624B62"/>
    <w:rsid w:val="00627052"/>
    <w:rsid w:val="00645067"/>
    <w:rsid w:val="00681E52"/>
    <w:rsid w:val="00686752"/>
    <w:rsid w:val="006A1826"/>
    <w:rsid w:val="006B5AFC"/>
    <w:rsid w:val="006E771F"/>
    <w:rsid w:val="006F5C57"/>
    <w:rsid w:val="00712DA3"/>
    <w:rsid w:val="00736FCA"/>
    <w:rsid w:val="00760A87"/>
    <w:rsid w:val="00774096"/>
    <w:rsid w:val="00777468"/>
    <w:rsid w:val="00777B1A"/>
    <w:rsid w:val="007B5CAF"/>
    <w:rsid w:val="007B6DD1"/>
    <w:rsid w:val="007F1C7A"/>
    <w:rsid w:val="00815FC6"/>
    <w:rsid w:val="008317C4"/>
    <w:rsid w:val="00841BA2"/>
    <w:rsid w:val="008657D1"/>
    <w:rsid w:val="008A2C2D"/>
    <w:rsid w:val="008A59D5"/>
    <w:rsid w:val="008A6BCD"/>
    <w:rsid w:val="008B5572"/>
    <w:rsid w:val="008C26FF"/>
    <w:rsid w:val="008C3934"/>
    <w:rsid w:val="00924F2E"/>
    <w:rsid w:val="009319F3"/>
    <w:rsid w:val="00933C5B"/>
    <w:rsid w:val="00943AAC"/>
    <w:rsid w:val="00971FA8"/>
    <w:rsid w:val="00985FA6"/>
    <w:rsid w:val="009962EC"/>
    <w:rsid w:val="009B7799"/>
    <w:rsid w:val="009D7B6D"/>
    <w:rsid w:val="00A722CB"/>
    <w:rsid w:val="00AA637B"/>
    <w:rsid w:val="00AB26A3"/>
    <w:rsid w:val="00AB6EBB"/>
    <w:rsid w:val="00AD3FB2"/>
    <w:rsid w:val="00AF2BAE"/>
    <w:rsid w:val="00AF4210"/>
    <w:rsid w:val="00AF4966"/>
    <w:rsid w:val="00B302CE"/>
    <w:rsid w:val="00B50FF0"/>
    <w:rsid w:val="00BC7748"/>
    <w:rsid w:val="00BD75E9"/>
    <w:rsid w:val="00BF69A6"/>
    <w:rsid w:val="00C029B1"/>
    <w:rsid w:val="00C65610"/>
    <w:rsid w:val="00C7370A"/>
    <w:rsid w:val="00CB34A5"/>
    <w:rsid w:val="00D03094"/>
    <w:rsid w:val="00D0326D"/>
    <w:rsid w:val="00D04FD7"/>
    <w:rsid w:val="00D27DA7"/>
    <w:rsid w:val="00D3747D"/>
    <w:rsid w:val="00D43B3D"/>
    <w:rsid w:val="00D67F01"/>
    <w:rsid w:val="00D709F2"/>
    <w:rsid w:val="00D90DDD"/>
    <w:rsid w:val="00D93F87"/>
    <w:rsid w:val="00E047E0"/>
    <w:rsid w:val="00E05F93"/>
    <w:rsid w:val="00E50040"/>
    <w:rsid w:val="00EA6F02"/>
    <w:rsid w:val="00EC1EA8"/>
    <w:rsid w:val="00EC3FD7"/>
    <w:rsid w:val="00EE198F"/>
    <w:rsid w:val="00F106CF"/>
    <w:rsid w:val="00F158C9"/>
    <w:rsid w:val="00F15FA3"/>
    <w:rsid w:val="00F644BB"/>
    <w:rsid w:val="00FA48B9"/>
    <w:rsid w:val="00FB1835"/>
    <w:rsid w:val="00FB6764"/>
    <w:rsid w:val="00FD00FA"/>
    <w:rsid w:val="00FE4FA5"/>
    <w:rsid w:val="00FF12B4"/>
    <w:rsid w:val="00FF53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70808"/>
  <w15:chartTrackingRefBased/>
  <w15:docId w15:val="{435B4CEA-D4C0-4DB7-A46F-E266A1B9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5834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AF4210"/>
    <w:pPr>
      <w:ind w:left="720"/>
      <w:contextualSpacing/>
    </w:pPr>
  </w:style>
  <w:style w:type="character" w:styleId="Hipercze">
    <w:name w:val="Hyperlink"/>
    <w:basedOn w:val="Domylnaczcionkaakapitu"/>
    <w:uiPriority w:val="99"/>
    <w:unhideWhenUsed/>
    <w:rsid w:val="00577E23"/>
    <w:rPr>
      <w:color w:val="0563C1" w:themeColor="hyperlink"/>
      <w:u w:val="single"/>
    </w:rPr>
  </w:style>
  <w:style w:type="character" w:customStyle="1" w:styleId="hgkelc">
    <w:name w:val="hgkelc"/>
    <w:basedOn w:val="Domylnaczcionkaakapitu"/>
    <w:rsid w:val="005677D8"/>
  </w:style>
  <w:style w:type="paragraph" w:styleId="Tekstkomentarza">
    <w:name w:val="annotation text"/>
    <w:basedOn w:val="Normalny"/>
    <w:link w:val="TekstkomentarzaZnak"/>
    <w:uiPriority w:val="99"/>
    <w:semiHidden/>
    <w:unhideWhenUsed/>
    <w:rsid w:val="007F1C7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F1C7A"/>
    <w:rPr>
      <w:sz w:val="20"/>
      <w:szCs w:val="20"/>
    </w:rPr>
  </w:style>
  <w:style w:type="paragraph" w:styleId="Tekstdymka">
    <w:name w:val="Balloon Text"/>
    <w:basedOn w:val="Normalny"/>
    <w:link w:val="TekstdymkaZnak"/>
    <w:uiPriority w:val="99"/>
    <w:semiHidden/>
    <w:unhideWhenUsed/>
    <w:rsid w:val="000159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9B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010574-90BA-4150-97D4-E2635494B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15</Pages>
  <Words>3597</Words>
  <Characters>21587</Characters>
  <Application>Microsoft Office Word</Application>
  <DocSecurity>0</DocSecurity>
  <Lines>179</Lines>
  <Paragraphs>50</Paragraphs>
  <ScaleCrop>false</ScaleCrop>
  <HeadingPairs>
    <vt:vector size="2" baseType="variant">
      <vt:variant>
        <vt:lpstr>Tytuł</vt:lpstr>
      </vt:variant>
      <vt:variant>
        <vt:i4>1</vt:i4>
      </vt:variant>
    </vt:vector>
  </HeadingPairs>
  <TitlesOfParts>
    <vt:vector size="1" baseType="lpstr">
      <vt:lpstr/>
    </vt:vector>
  </TitlesOfParts>
  <Company>Ministerstwo Cyfryzacji</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Justyna</dc:creator>
  <cp:keywords/>
  <dc:description/>
  <cp:lastModifiedBy>Markowska Anna</cp:lastModifiedBy>
  <cp:revision>5</cp:revision>
  <dcterms:created xsi:type="dcterms:W3CDTF">2022-11-10T08:38:00Z</dcterms:created>
  <dcterms:modified xsi:type="dcterms:W3CDTF">2022-11-10T12:35:00Z</dcterms:modified>
</cp:coreProperties>
</file>